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BE33" w14:textId="0A4922AD" w:rsidR="002B60A7" w:rsidRPr="00526FD8" w:rsidRDefault="001C431A">
      <w:pPr>
        <w:rPr>
          <w:rFonts w:ascii="IBM Plex Sans" w:hAnsi="IBM Plex Sans"/>
        </w:rPr>
      </w:pPr>
      <w:r w:rsidRPr="00526FD8">
        <w:rPr>
          <w:rFonts w:ascii="IBM Plex Sans" w:hAnsi="IBM Plex Sans"/>
        </w:rPr>
        <w:t>IBM Idea</w:t>
      </w:r>
    </w:p>
    <w:p w14:paraId="67CF4840" w14:textId="78749A93" w:rsidR="001C431A" w:rsidRPr="00526FD8" w:rsidRDefault="001C431A">
      <w:pPr>
        <w:rPr>
          <w:rFonts w:ascii="IBM Plex Sans" w:hAnsi="IBM Plex Sans"/>
        </w:rPr>
      </w:pPr>
    </w:p>
    <w:p w14:paraId="2C5B01EC" w14:textId="3A6592C7" w:rsidR="001C431A" w:rsidRPr="00526FD8" w:rsidRDefault="001C431A">
      <w:pPr>
        <w:rPr>
          <w:rFonts w:ascii="IBM Plex Sans" w:hAnsi="IBM Plex Sans"/>
        </w:rPr>
      </w:pPr>
    </w:p>
    <w:p w14:paraId="6148412D" w14:textId="1D94837E" w:rsidR="00437B79" w:rsidRPr="00526FD8" w:rsidRDefault="00A918BB">
      <w:pPr>
        <w:pStyle w:val="TOC1"/>
        <w:rPr>
          <w:rFonts w:ascii="IBM Plex Sans" w:eastAsiaTheme="minorEastAsia" w:hAnsi="IBM Plex Sans" w:cstheme="minorBidi"/>
          <w:b w:val="0"/>
          <w:bCs w:val="0"/>
          <w:caps w:val="0"/>
          <w:noProof/>
          <w:lang w:eastAsia="en-GB"/>
        </w:rPr>
      </w:pPr>
      <w:r w:rsidRPr="00526FD8">
        <w:rPr>
          <w:rFonts w:ascii="IBM Plex Sans" w:hAnsi="IBM Plex Sans"/>
          <w:b w:val="0"/>
          <w:bCs w:val="0"/>
        </w:rPr>
        <w:fldChar w:fldCharType="begin"/>
      </w:r>
      <w:r w:rsidRPr="00526FD8">
        <w:rPr>
          <w:rFonts w:ascii="IBM Plex Sans" w:hAnsi="IBM Plex Sans"/>
          <w:b w:val="0"/>
          <w:bCs w:val="0"/>
        </w:rPr>
        <w:instrText xml:space="preserve"> TOC \o "1-1" \h \z \u </w:instrText>
      </w:r>
      <w:r w:rsidRPr="00526FD8">
        <w:rPr>
          <w:rFonts w:ascii="IBM Plex Sans" w:hAnsi="IBM Plex Sans"/>
          <w:b w:val="0"/>
          <w:bCs w:val="0"/>
        </w:rPr>
        <w:fldChar w:fldCharType="separate"/>
      </w:r>
      <w:hyperlink w:anchor="_Toc119666854" w:history="1">
        <w:r w:rsidR="00437B79" w:rsidRPr="00526FD8">
          <w:rPr>
            <w:rStyle w:val="Hyperlink"/>
            <w:rFonts w:ascii="IBM Plex Sans" w:eastAsia="Times New Roman" w:hAnsi="IBM Plex Sans"/>
            <w:b w:val="0"/>
            <w:bCs w:val="0"/>
            <w:noProof/>
            <w:lang w:eastAsia="en-GB"/>
          </w:rPr>
          <w:t>Value Hypothesis</w:t>
        </w:r>
        <w:r w:rsidR="00437B79" w:rsidRPr="00526FD8">
          <w:rPr>
            <w:rFonts w:ascii="IBM Plex Sans" w:hAnsi="IBM Plex Sans"/>
            <w:b w:val="0"/>
            <w:bCs w:val="0"/>
            <w:noProof/>
            <w:webHidden/>
          </w:rPr>
          <w:tab/>
        </w:r>
        <w:r w:rsidR="00437B79" w:rsidRPr="00526FD8">
          <w:rPr>
            <w:rFonts w:ascii="IBM Plex Sans" w:hAnsi="IBM Plex Sans"/>
            <w:b w:val="0"/>
            <w:bCs w:val="0"/>
            <w:noProof/>
            <w:webHidden/>
          </w:rPr>
          <w:fldChar w:fldCharType="begin"/>
        </w:r>
        <w:r w:rsidR="00437B79" w:rsidRPr="00526FD8">
          <w:rPr>
            <w:rFonts w:ascii="IBM Plex Sans" w:hAnsi="IBM Plex Sans"/>
            <w:b w:val="0"/>
            <w:bCs w:val="0"/>
            <w:noProof/>
            <w:webHidden/>
          </w:rPr>
          <w:instrText xml:space="preserve"> PAGEREF _Toc119666854 \h </w:instrText>
        </w:r>
        <w:r w:rsidR="00437B79" w:rsidRPr="00526FD8">
          <w:rPr>
            <w:rFonts w:ascii="IBM Plex Sans" w:hAnsi="IBM Plex Sans"/>
            <w:b w:val="0"/>
            <w:bCs w:val="0"/>
            <w:noProof/>
            <w:webHidden/>
          </w:rPr>
        </w:r>
        <w:r w:rsidR="00437B79" w:rsidRPr="00526FD8">
          <w:rPr>
            <w:rFonts w:ascii="IBM Plex Sans" w:hAnsi="IBM Plex Sans"/>
            <w:b w:val="0"/>
            <w:bCs w:val="0"/>
            <w:noProof/>
            <w:webHidden/>
          </w:rPr>
          <w:fldChar w:fldCharType="separate"/>
        </w:r>
        <w:r w:rsidR="00437B79" w:rsidRPr="00526FD8">
          <w:rPr>
            <w:rFonts w:ascii="IBM Plex Sans" w:hAnsi="IBM Plex Sans"/>
            <w:b w:val="0"/>
            <w:bCs w:val="0"/>
            <w:noProof/>
            <w:webHidden/>
          </w:rPr>
          <w:t>1</w:t>
        </w:r>
        <w:r w:rsidR="00437B79" w:rsidRPr="00526FD8">
          <w:rPr>
            <w:rFonts w:ascii="IBM Plex Sans" w:hAnsi="IBM Plex Sans"/>
            <w:b w:val="0"/>
            <w:bCs w:val="0"/>
            <w:noProof/>
            <w:webHidden/>
          </w:rPr>
          <w:fldChar w:fldCharType="end"/>
        </w:r>
      </w:hyperlink>
    </w:p>
    <w:p w14:paraId="2BF956AE" w14:textId="26843751" w:rsidR="00437B79" w:rsidRPr="00526FD8" w:rsidRDefault="00437B79">
      <w:pPr>
        <w:pStyle w:val="TOC1"/>
        <w:rPr>
          <w:rFonts w:ascii="IBM Plex Sans" w:eastAsiaTheme="minorEastAsia" w:hAnsi="IBM Plex Sans" w:cstheme="minorBidi"/>
          <w:b w:val="0"/>
          <w:bCs w:val="0"/>
          <w:caps w:val="0"/>
          <w:noProof/>
          <w:lang w:eastAsia="en-GB"/>
        </w:rPr>
      </w:pPr>
      <w:hyperlink w:anchor="_Toc119666855" w:history="1">
        <w:r w:rsidRPr="00526FD8">
          <w:rPr>
            <w:rStyle w:val="Hyperlink"/>
            <w:rFonts w:ascii="IBM Plex Sans" w:eastAsia="Times New Roman" w:hAnsi="IBM Plex Sans"/>
            <w:b w:val="0"/>
            <w:bCs w:val="0"/>
            <w:noProof/>
            <w:lang w:eastAsia="en-GB"/>
          </w:rPr>
          <w:t>One sentence summary of the idea</w:t>
        </w:r>
        <w:r w:rsidRPr="00526FD8">
          <w:rPr>
            <w:rFonts w:ascii="IBM Plex Sans" w:hAnsi="IBM Plex Sans"/>
            <w:b w:val="0"/>
            <w:bCs w:val="0"/>
            <w:noProof/>
            <w:webHidden/>
          </w:rPr>
          <w:tab/>
        </w:r>
        <w:r w:rsidRPr="00526FD8">
          <w:rPr>
            <w:rFonts w:ascii="IBM Plex Sans" w:hAnsi="IBM Plex Sans"/>
            <w:b w:val="0"/>
            <w:bCs w:val="0"/>
            <w:noProof/>
            <w:webHidden/>
          </w:rPr>
          <w:fldChar w:fldCharType="begin"/>
        </w:r>
        <w:r w:rsidRPr="00526FD8">
          <w:rPr>
            <w:rFonts w:ascii="IBM Plex Sans" w:hAnsi="IBM Plex Sans"/>
            <w:b w:val="0"/>
            <w:bCs w:val="0"/>
            <w:noProof/>
            <w:webHidden/>
          </w:rPr>
          <w:instrText xml:space="preserve"> PAGEREF _Toc119666855 \h </w:instrText>
        </w:r>
        <w:r w:rsidRPr="00526FD8">
          <w:rPr>
            <w:rFonts w:ascii="IBM Plex Sans" w:hAnsi="IBM Plex Sans"/>
            <w:b w:val="0"/>
            <w:bCs w:val="0"/>
            <w:noProof/>
            <w:webHidden/>
          </w:rPr>
        </w:r>
        <w:r w:rsidRPr="00526FD8">
          <w:rPr>
            <w:rFonts w:ascii="IBM Plex Sans" w:hAnsi="IBM Plex Sans"/>
            <w:b w:val="0"/>
            <w:bCs w:val="0"/>
            <w:noProof/>
            <w:webHidden/>
          </w:rPr>
          <w:fldChar w:fldCharType="separate"/>
        </w:r>
        <w:r w:rsidRPr="00526FD8">
          <w:rPr>
            <w:rFonts w:ascii="IBM Plex Sans" w:hAnsi="IBM Plex Sans"/>
            <w:b w:val="0"/>
            <w:bCs w:val="0"/>
            <w:noProof/>
            <w:webHidden/>
          </w:rPr>
          <w:t>1</w:t>
        </w:r>
        <w:r w:rsidRPr="00526FD8">
          <w:rPr>
            <w:rFonts w:ascii="IBM Plex Sans" w:hAnsi="IBM Plex Sans"/>
            <w:b w:val="0"/>
            <w:bCs w:val="0"/>
            <w:noProof/>
            <w:webHidden/>
          </w:rPr>
          <w:fldChar w:fldCharType="end"/>
        </w:r>
      </w:hyperlink>
    </w:p>
    <w:p w14:paraId="177F2A4E" w14:textId="04C92627" w:rsidR="00437B79" w:rsidRPr="00526FD8" w:rsidRDefault="00437B79">
      <w:pPr>
        <w:pStyle w:val="TOC1"/>
        <w:rPr>
          <w:rFonts w:ascii="IBM Plex Sans" w:eastAsiaTheme="minorEastAsia" w:hAnsi="IBM Plex Sans" w:cstheme="minorBidi"/>
          <w:b w:val="0"/>
          <w:bCs w:val="0"/>
          <w:caps w:val="0"/>
          <w:noProof/>
          <w:lang w:eastAsia="en-GB"/>
        </w:rPr>
      </w:pPr>
      <w:hyperlink w:anchor="_Toc119666856" w:history="1">
        <w:r w:rsidRPr="00526FD8">
          <w:rPr>
            <w:rStyle w:val="Hyperlink"/>
            <w:rFonts w:ascii="IBM Plex Sans" w:eastAsia="Times New Roman" w:hAnsi="IBM Plex Sans"/>
            <w:b w:val="0"/>
            <w:bCs w:val="0"/>
            <w:noProof/>
            <w:lang w:eastAsia="en-GB"/>
          </w:rPr>
          <w:t>Pain points for the clients</w:t>
        </w:r>
        <w:r w:rsidRPr="00526FD8">
          <w:rPr>
            <w:rFonts w:ascii="IBM Plex Sans" w:hAnsi="IBM Plex Sans"/>
            <w:b w:val="0"/>
            <w:bCs w:val="0"/>
            <w:noProof/>
            <w:webHidden/>
          </w:rPr>
          <w:tab/>
        </w:r>
        <w:r w:rsidRPr="00526FD8">
          <w:rPr>
            <w:rFonts w:ascii="IBM Plex Sans" w:hAnsi="IBM Plex Sans"/>
            <w:b w:val="0"/>
            <w:bCs w:val="0"/>
            <w:noProof/>
            <w:webHidden/>
          </w:rPr>
          <w:fldChar w:fldCharType="begin"/>
        </w:r>
        <w:r w:rsidRPr="00526FD8">
          <w:rPr>
            <w:rFonts w:ascii="IBM Plex Sans" w:hAnsi="IBM Plex Sans"/>
            <w:b w:val="0"/>
            <w:bCs w:val="0"/>
            <w:noProof/>
            <w:webHidden/>
          </w:rPr>
          <w:instrText xml:space="preserve"> PAGEREF _Toc119666856 \h </w:instrText>
        </w:r>
        <w:r w:rsidRPr="00526FD8">
          <w:rPr>
            <w:rFonts w:ascii="IBM Plex Sans" w:hAnsi="IBM Plex Sans"/>
            <w:b w:val="0"/>
            <w:bCs w:val="0"/>
            <w:noProof/>
            <w:webHidden/>
          </w:rPr>
        </w:r>
        <w:r w:rsidRPr="00526FD8">
          <w:rPr>
            <w:rFonts w:ascii="IBM Plex Sans" w:hAnsi="IBM Plex Sans"/>
            <w:b w:val="0"/>
            <w:bCs w:val="0"/>
            <w:noProof/>
            <w:webHidden/>
          </w:rPr>
          <w:fldChar w:fldCharType="separate"/>
        </w:r>
        <w:r w:rsidRPr="00526FD8">
          <w:rPr>
            <w:rFonts w:ascii="IBM Plex Sans" w:hAnsi="IBM Plex Sans"/>
            <w:b w:val="0"/>
            <w:bCs w:val="0"/>
            <w:noProof/>
            <w:webHidden/>
          </w:rPr>
          <w:t>2</w:t>
        </w:r>
        <w:r w:rsidRPr="00526FD8">
          <w:rPr>
            <w:rFonts w:ascii="IBM Plex Sans" w:hAnsi="IBM Plex Sans"/>
            <w:b w:val="0"/>
            <w:bCs w:val="0"/>
            <w:noProof/>
            <w:webHidden/>
          </w:rPr>
          <w:fldChar w:fldCharType="end"/>
        </w:r>
      </w:hyperlink>
    </w:p>
    <w:p w14:paraId="0486A4B1" w14:textId="0D928AD8" w:rsidR="00437B79" w:rsidRPr="00526FD8" w:rsidRDefault="00437B79">
      <w:pPr>
        <w:pStyle w:val="TOC1"/>
        <w:rPr>
          <w:rFonts w:ascii="IBM Plex Sans" w:eastAsiaTheme="minorEastAsia" w:hAnsi="IBM Plex Sans" w:cstheme="minorBidi"/>
          <w:b w:val="0"/>
          <w:bCs w:val="0"/>
          <w:caps w:val="0"/>
          <w:noProof/>
          <w:lang w:eastAsia="en-GB"/>
        </w:rPr>
      </w:pPr>
      <w:hyperlink w:anchor="_Toc119666857" w:history="1">
        <w:r w:rsidRPr="00526FD8">
          <w:rPr>
            <w:rStyle w:val="Hyperlink"/>
            <w:rFonts w:ascii="IBM Plex Sans" w:eastAsia="Times New Roman" w:hAnsi="IBM Plex Sans"/>
            <w:b w:val="0"/>
            <w:bCs w:val="0"/>
            <w:noProof/>
            <w:lang w:eastAsia="en-GB"/>
          </w:rPr>
          <w:t>Highlight the benefits that both Clients and IBM can get from this</w:t>
        </w:r>
        <w:r w:rsidRPr="00526FD8">
          <w:rPr>
            <w:rFonts w:ascii="IBM Plex Sans" w:hAnsi="IBM Plex Sans"/>
            <w:b w:val="0"/>
            <w:bCs w:val="0"/>
            <w:noProof/>
            <w:webHidden/>
          </w:rPr>
          <w:tab/>
        </w:r>
        <w:r w:rsidRPr="00526FD8">
          <w:rPr>
            <w:rFonts w:ascii="IBM Plex Sans" w:hAnsi="IBM Plex Sans"/>
            <w:b w:val="0"/>
            <w:bCs w:val="0"/>
            <w:noProof/>
            <w:webHidden/>
          </w:rPr>
          <w:fldChar w:fldCharType="begin"/>
        </w:r>
        <w:r w:rsidRPr="00526FD8">
          <w:rPr>
            <w:rFonts w:ascii="IBM Plex Sans" w:hAnsi="IBM Plex Sans"/>
            <w:b w:val="0"/>
            <w:bCs w:val="0"/>
            <w:noProof/>
            <w:webHidden/>
          </w:rPr>
          <w:instrText xml:space="preserve"> PAGEREF _Toc119666857 \h </w:instrText>
        </w:r>
        <w:r w:rsidRPr="00526FD8">
          <w:rPr>
            <w:rFonts w:ascii="IBM Plex Sans" w:hAnsi="IBM Plex Sans"/>
            <w:b w:val="0"/>
            <w:bCs w:val="0"/>
            <w:noProof/>
            <w:webHidden/>
          </w:rPr>
        </w:r>
        <w:r w:rsidRPr="00526FD8">
          <w:rPr>
            <w:rFonts w:ascii="IBM Plex Sans" w:hAnsi="IBM Plex Sans"/>
            <w:b w:val="0"/>
            <w:bCs w:val="0"/>
            <w:noProof/>
            <w:webHidden/>
          </w:rPr>
          <w:fldChar w:fldCharType="separate"/>
        </w:r>
        <w:r w:rsidRPr="00526FD8">
          <w:rPr>
            <w:rFonts w:ascii="IBM Plex Sans" w:hAnsi="IBM Plex Sans"/>
            <w:b w:val="0"/>
            <w:bCs w:val="0"/>
            <w:noProof/>
            <w:webHidden/>
          </w:rPr>
          <w:t>2</w:t>
        </w:r>
        <w:r w:rsidRPr="00526FD8">
          <w:rPr>
            <w:rFonts w:ascii="IBM Plex Sans" w:hAnsi="IBM Plex Sans"/>
            <w:b w:val="0"/>
            <w:bCs w:val="0"/>
            <w:noProof/>
            <w:webHidden/>
          </w:rPr>
          <w:fldChar w:fldCharType="end"/>
        </w:r>
      </w:hyperlink>
    </w:p>
    <w:p w14:paraId="3C68D02D" w14:textId="2D3846DE" w:rsidR="00437B79" w:rsidRPr="00526FD8" w:rsidRDefault="00437B79">
      <w:pPr>
        <w:pStyle w:val="TOC1"/>
        <w:rPr>
          <w:rFonts w:ascii="IBM Plex Sans" w:eastAsiaTheme="minorEastAsia" w:hAnsi="IBM Plex Sans" w:cstheme="minorBidi"/>
          <w:b w:val="0"/>
          <w:bCs w:val="0"/>
          <w:caps w:val="0"/>
          <w:noProof/>
          <w:lang w:eastAsia="en-GB"/>
        </w:rPr>
      </w:pPr>
      <w:hyperlink w:anchor="_Toc119666858" w:history="1">
        <w:r w:rsidRPr="00526FD8">
          <w:rPr>
            <w:rStyle w:val="Hyperlink"/>
            <w:rFonts w:ascii="IBM Plex Sans" w:eastAsia="Times New Roman" w:hAnsi="IBM Plex Sans"/>
            <w:b w:val="0"/>
            <w:bCs w:val="0"/>
            <w:noProof/>
            <w:lang w:eastAsia="en-GB"/>
          </w:rPr>
          <w:t>Any common Roadblocks</w:t>
        </w:r>
        <w:r w:rsidRPr="00526FD8">
          <w:rPr>
            <w:rFonts w:ascii="IBM Plex Sans" w:hAnsi="IBM Plex Sans"/>
            <w:b w:val="0"/>
            <w:bCs w:val="0"/>
            <w:noProof/>
            <w:webHidden/>
          </w:rPr>
          <w:tab/>
        </w:r>
        <w:r w:rsidRPr="00526FD8">
          <w:rPr>
            <w:rFonts w:ascii="IBM Plex Sans" w:hAnsi="IBM Plex Sans"/>
            <w:b w:val="0"/>
            <w:bCs w:val="0"/>
            <w:noProof/>
            <w:webHidden/>
          </w:rPr>
          <w:fldChar w:fldCharType="begin"/>
        </w:r>
        <w:r w:rsidRPr="00526FD8">
          <w:rPr>
            <w:rFonts w:ascii="IBM Plex Sans" w:hAnsi="IBM Plex Sans"/>
            <w:b w:val="0"/>
            <w:bCs w:val="0"/>
            <w:noProof/>
            <w:webHidden/>
          </w:rPr>
          <w:instrText xml:space="preserve"> PAGEREF _Toc119666858 \h </w:instrText>
        </w:r>
        <w:r w:rsidRPr="00526FD8">
          <w:rPr>
            <w:rFonts w:ascii="IBM Plex Sans" w:hAnsi="IBM Plex Sans"/>
            <w:b w:val="0"/>
            <w:bCs w:val="0"/>
            <w:noProof/>
            <w:webHidden/>
          </w:rPr>
        </w:r>
        <w:r w:rsidRPr="00526FD8">
          <w:rPr>
            <w:rFonts w:ascii="IBM Plex Sans" w:hAnsi="IBM Plex Sans"/>
            <w:b w:val="0"/>
            <w:bCs w:val="0"/>
            <w:noProof/>
            <w:webHidden/>
          </w:rPr>
          <w:fldChar w:fldCharType="separate"/>
        </w:r>
        <w:r w:rsidRPr="00526FD8">
          <w:rPr>
            <w:rFonts w:ascii="IBM Plex Sans" w:hAnsi="IBM Plex Sans"/>
            <w:b w:val="0"/>
            <w:bCs w:val="0"/>
            <w:noProof/>
            <w:webHidden/>
          </w:rPr>
          <w:t>2</w:t>
        </w:r>
        <w:r w:rsidRPr="00526FD8">
          <w:rPr>
            <w:rFonts w:ascii="IBM Plex Sans" w:hAnsi="IBM Plex Sans"/>
            <w:b w:val="0"/>
            <w:bCs w:val="0"/>
            <w:noProof/>
            <w:webHidden/>
          </w:rPr>
          <w:fldChar w:fldCharType="end"/>
        </w:r>
      </w:hyperlink>
    </w:p>
    <w:p w14:paraId="1C0718D4" w14:textId="4D9669E3" w:rsidR="00437B79" w:rsidRPr="00526FD8" w:rsidRDefault="00437B79">
      <w:pPr>
        <w:pStyle w:val="TOC1"/>
        <w:rPr>
          <w:rFonts w:ascii="IBM Plex Sans" w:eastAsiaTheme="minorEastAsia" w:hAnsi="IBM Plex Sans" w:cstheme="minorBidi"/>
          <w:b w:val="0"/>
          <w:bCs w:val="0"/>
          <w:caps w:val="0"/>
          <w:noProof/>
          <w:lang w:eastAsia="en-GB"/>
        </w:rPr>
      </w:pPr>
      <w:hyperlink w:anchor="_Toc119666859" w:history="1">
        <w:r w:rsidRPr="00526FD8">
          <w:rPr>
            <w:rStyle w:val="Hyperlink"/>
            <w:rFonts w:ascii="IBM Plex Sans" w:eastAsia="Times New Roman" w:hAnsi="IBM Plex Sans"/>
            <w:b w:val="0"/>
            <w:bCs w:val="0"/>
            <w:noProof/>
            <w:lang w:eastAsia="en-GB"/>
          </w:rPr>
          <w:t>Most frequently encountered competitors for IBM in this region</w:t>
        </w:r>
        <w:r w:rsidRPr="00526FD8">
          <w:rPr>
            <w:rFonts w:ascii="IBM Plex Sans" w:hAnsi="IBM Plex Sans"/>
            <w:b w:val="0"/>
            <w:bCs w:val="0"/>
            <w:noProof/>
            <w:webHidden/>
          </w:rPr>
          <w:tab/>
        </w:r>
        <w:r w:rsidRPr="00526FD8">
          <w:rPr>
            <w:rFonts w:ascii="IBM Plex Sans" w:hAnsi="IBM Plex Sans"/>
            <w:b w:val="0"/>
            <w:bCs w:val="0"/>
            <w:noProof/>
            <w:webHidden/>
          </w:rPr>
          <w:fldChar w:fldCharType="begin"/>
        </w:r>
        <w:r w:rsidRPr="00526FD8">
          <w:rPr>
            <w:rFonts w:ascii="IBM Plex Sans" w:hAnsi="IBM Plex Sans"/>
            <w:b w:val="0"/>
            <w:bCs w:val="0"/>
            <w:noProof/>
            <w:webHidden/>
          </w:rPr>
          <w:instrText xml:space="preserve"> PAGEREF _Toc119666859 \h </w:instrText>
        </w:r>
        <w:r w:rsidRPr="00526FD8">
          <w:rPr>
            <w:rFonts w:ascii="IBM Plex Sans" w:hAnsi="IBM Plex Sans"/>
            <w:b w:val="0"/>
            <w:bCs w:val="0"/>
            <w:noProof/>
            <w:webHidden/>
          </w:rPr>
        </w:r>
        <w:r w:rsidRPr="00526FD8">
          <w:rPr>
            <w:rFonts w:ascii="IBM Plex Sans" w:hAnsi="IBM Plex Sans"/>
            <w:b w:val="0"/>
            <w:bCs w:val="0"/>
            <w:noProof/>
            <w:webHidden/>
          </w:rPr>
          <w:fldChar w:fldCharType="separate"/>
        </w:r>
        <w:r w:rsidRPr="00526FD8">
          <w:rPr>
            <w:rFonts w:ascii="IBM Plex Sans" w:hAnsi="IBM Plex Sans"/>
            <w:b w:val="0"/>
            <w:bCs w:val="0"/>
            <w:noProof/>
            <w:webHidden/>
          </w:rPr>
          <w:t>2</w:t>
        </w:r>
        <w:r w:rsidRPr="00526FD8">
          <w:rPr>
            <w:rFonts w:ascii="IBM Plex Sans" w:hAnsi="IBM Plex Sans"/>
            <w:b w:val="0"/>
            <w:bCs w:val="0"/>
            <w:noProof/>
            <w:webHidden/>
          </w:rPr>
          <w:fldChar w:fldCharType="end"/>
        </w:r>
      </w:hyperlink>
    </w:p>
    <w:p w14:paraId="5750459F" w14:textId="4CE28B70" w:rsidR="00437B79" w:rsidRPr="00526FD8" w:rsidRDefault="00437B79">
      <w:pPr>
        <w:pStyle w:val="TOC1"/>
        <w:rPr>
          <w:rFonts w:ascii="IBM Plex Sans" w:eastAsiaTheme="minorEastAsia" w:hAnsi="IBM Plex Sans" w:cstheme="minorBidi"/>
          <w:b w:val="0"/>
          <w:bCs w:val="0"/>
          <w:caps w:val="0"/>
          <w:noProof/>
          <w:lang w:eastAsia="en-GB"/>
        </w:rPr>
      </w:pPr>
      <w:hyperlink w:anchor="_Toc119666860" w:history="1">
        <w:r w:rsidRPr="00526FD8">
          <w:rPr>
            <w:rStyle w:val="Hyperlink"/>
            <w:rFonts w:ascii="IBM Plex Sans" w:eastAsia="Times New Roman" w:hAnsi="IBM Plex Sans"/>
            <w:b w:val="0"/>
            <w:bCs w:val="0"/>
            <w:noProof/>
            <w:lang w:eastAsia="en-GB"/>
          </w:rPr>
          <w:t>What are our strengths &amp; weakness</w:t>
        </w:r>
        <w:r w:rsidRPr="00526FD8">
          <w:rPr>
            <w:rFonts w:ascii="IBM Plex Sans" w:hAnsi="IBM Plex Sans"/>
            <w:b w:val="0"/>
            <w:bCs w:val="0"/>
            <w:noProof/>
            <w:webHidden/>
          </w:rPr>
          <w:tab/>
        </w:r>
        <w:r w:rsidRPr="00526FD8">
          <w:rPr>
            <w:rFonts w:ascii="IBM Plex Sans" w:hAnsi="IBM Plex Sans"/>
            <w:b w:val="0"/>
            <w:bCs w:val="0"/>
            <w:noProof/>
            <w:webHidden/>
          </w:rPr>
          <w:fldChar w:fldCharType="begin"/>
        </w:r>
        <w:r w:rsidRPr="00526FD8">
          <w:rPr>
            <w:rFonts w:ascii="IBM Plex Sans" w:hAnsi="IBM Plex Sans"/>
            <w:b w:val="0"/>
            <w:bCs w:val="0"/>
            <w:noProof/>
            <w:webHidden/>
          </w:rPr>
          <w:instrText xml:space="preserve"> PAGEREF _Toc119666860 \h </w:instrText>
        </w:r>
        <w:r w:rsidRPr="00526FD8">
          <w:rPr>
            <w:rFonts w:ascii="IBM Plex Sans" w:hAnsi="IBM Plex Sans"/>
            <w:b w:val="0"/>
            <w:bCs w:val="0"/>
            <w:noProof/>
            <w:webHidden/>
          </w:rPr>
        </w:r>
        <w:r w:rsidRPr="00526FD8">
          <w:rPr>
            <w:rFonts w:ascii="IBM Plex Sans" w:hAnsi="IBM Plex Sans"/>
            <w:b w:val="0"/>
            <w:bCs w:val="0"/>
            <w:noProof/>
            <w:webHidden/>
          </w:rPr>
          <w:fldChar w:fldCharType="separate"/>
        </w:r>
        <w:r w:rsidRPr="00526FD8">
          <w:rPr>
            <w:rFonts w:ascii="IBM Plex Sans" w:hAnsi="IBM Plex Sans"/>
            <w:b w:val="0"/>
            <w:bCs w:val="0"/>
            <w:noProof/>
            <w:webHidden/>
          </w:rPr>
          <w:t>2</w:t>
        </w:r>
        <w:r w:rsidRPr="00526FD8">
          <w:rPr>
            <w:rFonts w:ascii="IBM Plex Sans" w:hAnsi="IBM Plex Sans"/>
            <w:b w:val="0"/>
            <w:bCs w:val="0"/>
            <w:noProof/>
            <w:webHidden/>
          </w:rPr>
          <w:fldChar w:fldCharType="end"/>
        </w:r>
      </w:hyperlink>
    </w:p>
    <w:p w14:paraId="65BCA02D" w14:textId="3D8BBEFA" w:rsidR="001C431A" w:rsidRPr="00526FD8" w:rsidRDefault="00A918BB">
      <w:pPr>
        <w:rPr>
          <w:rFonts w:ascii="IBM Plex Sans" w:hAnsi="IBM Plex Sans"/>
        </w:rPr>
      </w:pPr>
      <w:r w:rsidRPr="00526FD8">
        <w:rPr>
          <w:rFonts w:ascii="IBM Plex Sans" w:hAnsi="IBM Plex Sans"/>
        </w:rPr>
        <w:fldChar w:fldCharType="end"/>
      </w:r>
    </w:p>
    <w:p w14:paraId="603D759A" w14:textId="20C3D314" w:rsidR="001C431A" w:rsidRPr="00526FD8" w:rsidRDefault="001C431A">
      <w:pPr>
        <w:rPr>
          <w:rFonts w:ascii="IBM Plex Sans" w:hAnsi="IBM Plex Sans"/>
        </w:rPr>
      </w:pPr>
    </w:p>
    <w:p w14:paraId="1385686E" w14:textId="0004065A" w:rsidR="001C431A" w:rsidRPr="00526FD8" w:rsidRDefault="001C431A">
      <w:pPr>
        <w:rPr>
          <w:rFonts w:ascii="IBM Plex Sans" w:hAnsi="IBM Plex Sans"/>
        </w:rPr>
      </w:pPr>
    </w:p>
    <w:p w14:paraId="35745BA0" w14:textId="4BEBD40E" w:rsidR="001C431A" w:rsidRPr="00526FD8" w:rsidRDefault="001C431A">
      <w:pPr>
        <w:rPr>
          <w:rFonts w:ascii="IBM Plex Sans" w:hAnsi="IBM Plex Sans"/>
        </w:rPr>
      </w:pPr>
    </w:p>
    <w:p w14:paraId="3132F700" w14:textId="0B3A93A5" w:rsidR="001C431A" w:rsidRPr="00526FD8" w:rsidRDefault="001C431A">
      <w:pPr>
        <w:rPr>
          <w:rFonts w:ascii="IBM Plex Sans" w:hAnsi="IBM Plex Sans"/>
        </w:rPr>
      </w:pPr>
    </w:p>
    <w:p w14:paraId="613ECFD8" w14:textId="77777777" w:rsidR="001C431A" w:rsidRPr="00526FD8" w:rsidRDefault="001C431A">
      <w:pPr>
        <w:rPr>
          <w:rFonts w:ascii="IBM Plex Sans" w:hAnsi="IBM Plex Sans"/>
        </w:rPr>
      </w:pPr>
    </w:p>
    <w:p w14:paraId="238A4A19" w14:textId="77777777" w:rsidR="001C431A" w:rsidRPr="00526FD8" w:rsidRDefault="001C431A" w:rsidP="00A918BB">
      <w:pPr>
        <w:pStyle w:val="Heading1"/>
        <w:rPr>
          <w:rFonts w:ascii="IBM Plex Sans" w:eastAsia="Times New Roman" w:hAnsi="IBM Plex Sans"/>
          <w:lang w:eastAsia="en-GB"/>
        </w:rPr>
      </w:pPr>
      <w:bookmarkStart w:id="0" w:name="_Toc119666854"/>
      <w:r w:rsidRPr="00526FD8">
        <w:rPr>
          <w:rFonts w:ascii="IBM Plex Sans" w:eastAsia="Times New Roman" w:hAnsi="IBM Plex Sans"/>
          <w:lang w:eastAsia="en-GB"/>
        </w:rPr>
        <w:t>Value Hypothesis</w:t>
      </w:r>
      <w:bookmarkEnd w:id="0"/>
    </w:p>
    <w:p w14:paraId="0B49765B" w14:textId="77777777" w:rsidR="001C431A" w:rsidRPr="00526FD8" w:rsidRDefault="001C431A" w:rsidP="001C431A">
      <w:pPr>
        <w:ind w:left="540"/>
        <w:rPr>
          <w:rFonts w:ascii="IBM Plex Sans" w:hAnsi="IBM Plex Sans" w:cs="Calibri"/>
          <w:sz w:val="22"/>
          <w:szCs w:val="22"/>
        </w:rPr>
      </w:pPr>
      <w:r w:rsidRPr="00526FD8">
        <w:rPr>
          <w:rFonts w:ascii="IBM Plex Sans" w:hAnsi="IBM Plex Sans" w:cs="Calibri"/>
          <w:sz w:val="22"/>
          <w:szCs w:val="22"/>
        </w:rPr>
        <w:t> </w:t>
      </w:r>
    </w:p>
    <w:p w14:paraId="1C4E294C" w14:textId="77777777" w:rsidR="001C431A" w:rsidRPr="00526FD8" w:rsidRDefault="001C431A" w:rsidP="001C431A">
      <w:pPr>
        <w:ind w:left="540"/>
        <w:rPr>
          <w:rFonts w:ascii="IBM Plex Sans" w:hAnsi="IBM Plex Sans" w:cs="Calibri"/>
          <w:sz w:val="22"/>
          <w:szCs w:val="22"/>
        </w:rPr>
      </w:pPr>
      <w:r w:rsidRPr="00526FD8">
        <w:rPr>
          <w:rFonts w:ascii="IBM Plex Sans" w:hAnsi="IBM Plex Sans" w:cs="Calibri"/>
          <w:sz w:val="22"/>
          <w:szCs w:val="22"/>
        </w:rPr>
        <w:t xml:space="preserve">IBM' Planning Analytics partner </w:t>
      </w:r>
      <w:proofErr w:type="spellStart"/>
      <w:r w:rsidRPr="00526FD8">
        <w:rPr>
          <w:rFonts w:ascii="IBM Plex Sans" w:hAnsi="IBM Plex Sans" w:cs="Calibri"/>
          <w:sz w:val="22"/>
          <w:szCs w:val="22"/>
        </w:rPr>
        <w:t>Aramar</w:t>
      </w:r>
      <w:proofErr w:type="spellEnd"/>
      <w:r w:rsidRPr="00526FD8">
        <w:rPr>
          <w:rFonts w:ascii="IBM Plex Sans" w:hAnsi="IBM Plex Sans" w:cs="Calibri"/>
          <w:sz w:val="22"/>
          <w:szCs w:val="22"/>
        </w:rPr>
        <w:t xml:space="preserve"> would increase the deployment, production of </w:t>
      </w:r>
      <w:proofErr w:type="gramStart"/>
      <w:r w:rsidRPr="00526FD8">
        <w:rPr>
          <w:rFonts w:ascii="IBM Plex Sans" w:hAnsi="IBM Plex Sans" w:cs="Calibri"/>
          <w:sz w:val="22"/>
          <w:szCs w:val="22"/>
        </w:rPr>
        <w:t>Financial</w:t>
      </w:r>
      <w:proofErr w:type="gramEnd"/>
      <w:r w:rsidRPr="00526FD8">
        <w:rPr>
          <w:rFonts w:ascii="IBM Plex Sans" w:hAnsi="IBM Plex Sans" w:cs="Calibri"/>
          <w:sz w:val="22"/>
          <w:szCs w:val="22"/>
        </w:rPr>
        <w:t xml:space="preserve"> analytics reporting by 50%</w:t>
      </w:r>
    </w:p>
    <w:p w14:paraId="7D9310D6" w14:textId="77777777" w:rsidR="001C431A" w:rsidRPr="00526FD8" w:rsidRDefault="001C431A" w:rsidP="001C431A">
      <w:pPr>
        <w:ind w:left="540"/>
        <w:rPr>
          <w:rFonts w:ascii="IBM Plex Sans" w:hAnsi="IBM Plex Sans" w:cs="Calibri"/>
          <w:sz w:val="22"/>
          <w:szCs w:val="22"/>
        </w:rPr>
      </w:pPr>
      <w:r w:rsidRPr="00526FD8">
        <w:rPr>
          <w:rFonts w:ascii="IBM Plex Sans" w:hAnsi="IBM Plex Sans" w:cs="Calibri"/>
          <w:sz w:val="22"/>
          <w:szCs w:val="22"/>
        </w:rPr>
        <w:t> </w:t>
      </w:r>
    </w:p>
    <w:p w14:paraId="0DF9E5D8" w14:textId="77777777" w:rsidR="001C431A" w:rsidRPr="00526FD8" w:rsidRDefault="001C431A" w:rsidP="001C431A">
      <w:pPr>
        <w:ind w:left="540"/>
        <w:rPr>
          <w:rFonts w:ascii="IBM Plex Sans" w:hAnsi="IBM Plex Sans" w:cs="Calibri"/>
          <w:sz w:val="22"/>
          <w:szCs w:val="22"/>
        </w:rPr>
      </w:pPr>
      <w:proofErr w:type="spellStart"/>
      <w:r w:rsidRPr="00526FD8">
        <w:rPr>
          <w:rFonts w:ascii="IBM Plex Sans" w:hAnsi="IBM Plex Sans" w:cs="Calibri"/>
          <w:sz w:val="22"/>
          <w:szCs w:val="22"/>
        </w:rPr>
        <w:t>Aramar</w:t>
      </w:r>
      <w:proofErr w:type="spellEnd"/>
      <w:r w:rsidRPr="00526FD8">
        <w:rPr>
          <w:rFonts w:ascii="IBM Plex Sans" w:hAnsi="IBM Plex Sans" w:cs="Calibri"/>
          <w:sz w:val="22"/>
          <w:szCs w:val="22"/>
        </w:rPr>
        <w:t xml:space="preserve"> would realize IBM's capabilities of cloud </w:t>
      </w:r>
      <w:proofErr w:type="spellStart"/>
      <w:r w:rsidRPr="00526FD8">
        <w:rPr>
          <w:rFonts w:ascii="IBM Plex Sans" w:hAnsi="IBM Plex Sans" w:cs="Calibri"/>
          <w:sz w:val="22"/>
          <w:szCs w:val="22"/>
        </w:rPr>
        <w:t>paks</w:t>
      </w:r>
      <w:proofErr w:type="spellEnd"/>
      <w:r w:rsidRPr="00526FD8">
        <w:rPr>
          <w:rFonts w:ascii="IBM Plex Sans" w:hAnsi="IBM Plex Sans" w:cs="Calibri"/>
          <w:sz w:val="22"/>
          <w:szCs w:val="22"/>
        </w:rPr>
        <w:t xml:space="preserve"> and the seamless integration of various software in delivering the desired business outcome</w:t>
      </w:r>
    </w:p>
    <w:p w14:paraId="46F34BF0" w14:textId="77777777" w:rsidR="001C431A" w:rsidRPr="00526FD8" w:rsidRDefault="001C431A" w:rsidP="001C431A">
      <w:pPr>
        <w:ind w:left="540"/>
        <w:rPr>
          <w:rFonts w:ascii="IBM Plex Sans" w:hAnsi="IBM Plex Sans" w:cs="Calibri"/>
          <w:sz w:val="22"/>
          <w:szCs w:val="22"/>
        </w:rPr>
      </w:pPr>
      <w:r w:rsidRPr="00526FD8">
        <w:rPr>
          <w:rFonts w:ascii="IBM Plex Sans" w:hAnsi="IBM Plex Sans" w:cs="Calibri"/>
          <w:sz w:val="22"/>
          <w:szCs w:val="22"/>
        </w:rPr>
        <w:t> </w:t>
      </w:r>
    </w:p>
    <w:p w14:paraId="7EB50010" w14:textId="77777777" w:rsidR="001C431A" w:rsidRPr="00526FD8" w:rsidRDefault="001C431A" w:rsidP="001C431A">
      <w:pPr>
        <w:ind w:left="540"/>
        <w:rPr>
          <w:rFonts w:ascii="IBM Plex Sans" w:hAnsi="IBM Plex Sans" w:cs="Calibri"/>
          <w:sz w:val="22"/>
          <w:szCs w:val="22"/>
        </w:rPr>
      </w:pPr>
      <w:r w:rsidRPr="00526FD8">
        <w:rPr>
          <w:rFonts w:ascii="IBM Plex Sans" w:hAnsi="IBM Plex Sans" w:cs="Calibri"/>
          <w:sz w:val="22"/>
          <w:szCs w:val="22"/>
        </w:rPr>
        <w:t>Solution Approach</w:t>
      </w:r>
    </w:p>
    <w:p w14:paraId="00D069C4" w14:textId="77777777" w:rsidR="001C431A" w:rsidRPr="00526FD8" w:rsidRDefault="001C431A" w:rsidP="001C431A">
      <w:pPr>
        <w:ind w:left="540"/>
        <w:rPr>
          <w:rFonts w:ascii="IBM Plex Sans" w:hAnsi="IBM Plex Sans" w:cs="Calibri"/>
          <w:sz w:val="22"/>
          <w:szCs w:val="22"/>
        </w:rPr>
      </w:pPr>
      <w:r w:rsidRPr="00526FD8">
        <w:rPr>
          <w:rFonts w:ascii="IBM Plex Sans" w:hAnsi="IBM Plex Sans" w:cs="Calibri"/>
          <w:sz w:val="22"/>
          <w:szCs w:val="22"/>
        </w:rPr>
        <w:t> </w:t>
      </w:r>
    </w:p>
    <w:p w14:paraId="567632BC" w14:textId="77777777" w:rsidR="001C431A" w:rsidRPr="00526FD8" w:rsidRDefault="001C431A" w:rsidP="001C431A">
      <w:pPr>
        <w:ind w:left="540"/>
        <w:rPr>
          <w:rFonts w:ascii="IBM Plex Sans" w:hAnsi="IBM Plex Sans" w:cs="Calibri"/>
          <w:sz w:val="22"/>
          <w:szCs w:val="22"/>
        </w:rPr>
      </w:pPr>
      <w:r w:rsidRPr="00526FD8">
        <w:rPr>
          <w:rFonts w:ascii="IBM Plex Sans" w:hAnsi="IBM Plex Sans" w:cs="Calibri"/>
          <w:sz w:val="22"/>
          <w:szCs w:val="22"/>
        </w:rPr>
        <w:t>Connect xero app using as App Connect or API connect integrate with PA so that the PA can source the income statement on real time.  This should result in increased productivity of creating &amp; deploying reports.</w:t>
      </w:r>
    </w:p>
    <w:p w14:paraId="0F85286C" w14:textId="77777777" w:rsidR="001C431A" w:rsidRPr="00526FD8" w:rsidRDefault="001C431A" w:rsidP="001C431A">
      <w:pPr>
        <w:rPr>
          <w:rFonts w:ascii="IBM Plex Sans" w:hAnsi="IBM Plex Sans" w:cs="Calibri"/>
          <w:sz w:val="22"/>
          <w:szCs w:val="22"/>
        </w:rPr>
      </w:pPr>
      <w:r w:rsidRPr="00526FD8">
        <w:rPr>
          <w:rFonts w:ascii="IBM Plex Sans" w:hAnsi="IBM Plex Sans" w:cs="Calibri"/>
          <w:sz w:val="22"/>
          <w:szCs w:val="22"/>
        </w:rPr>
        <w:t> </w:t>
      </w:r>
    </w:p>
    <w:p w14:paraId="2B388323" w14:textId="0E69A962" w:rsidR="001B7CA1" w:rsidRPr="00526FD8" w:rsidRDefault="001B7CA1" w:rsidP="001B7CA1">
      <w:pPr>
        <w:pStyle w:val="Heading1"/>
        <w:rPr>
          <w:rFonts w:ascii="IBM Plex Sans" w:eastAsia="Times New Roman" w:hAnsi="IBM Plex Sans"/>
          <w:lang w:eastAsia="en-GB"/>
        </w:rPr>
      </w:pPr>
      <w:bookmarkStart w:id="1" w:name="_Toc119666855"/>
      <w:r w:rsidRPr="00526FD8">
        <w:rPr>
          <w:rFonts w:ascii="IBM Plex Sans" w:eastAsia="Times New Roman" w:hAnsi="IBM Plex Sans"/>
          <w:lang w:eastAsia="en-GB"/>
        </w:rPr>
        <w:t xml:space="preserve">One </w:t>
      </w:r>
      <w:r w:rsidR="00437B79" w:rsidRPr="00526FD8">
        <w:rPr>
          <w:rFonts w:ascii="IBM Plex Sans" w:eastAsia="Times New Roman" w:hAnsi="IBM Plex Sans"/>
          <w:lang w:eastAsia="en-GB"/>
        </w:rPr>
        <w:t xml:space="preserve">sentence </w:t>
      </w:r>
      <w:r w:rsidRPr="00526FD8">
        <w:rPr>
          <w:rFonts w:ascii="IBM Plex Sans" w:eastAsia="Times New Roman" w:hAnsi="IBM Plex Sans"/>
          <w:lang w:eastAsia="en-GB"/>
        </w:rPr>
        <w:t>summary of the idea</w:t>
      </w:r>
      <w:bookmarkEnd w:id="1"/>
    </w:p>
    <w:p w14:paraId="10E463EC" w14:textId="24DA1BD8" w:rsidR="001B7CA1" w:rsidRPr="00526FD8" w:rsidRDefault="001B7CA1" w:rsidP="001B7CA1">
      <w:pPr>
        <w:rPr>
          <w:rFonts w:ascii="IBM Plex Sans" w:hAnsi="IBM Plex Sans"/>
        </w:rPr>
      </w:pPr>
      <w:r w:rsidRPr="00526FD8">
        <w:rPr>
          <w:rFonts w:ascii="IBM Plex Sans" w:hAnsi="IBM Plex Sans"/>
        </w:rPr>
        <w:tab/>
      </w:r>
    </w:p>
    <w:p w14:paraId="3BEE4966" w14:textId="77777777" w:rsidR="001B7CA1" w:rsidRPr="00526FD8" w:rsidRDefault="001C431A" w:rsidP="001C431A">
      <w:pPr>
        <w:rPr>
          <w:rFonts w:ascii="IBM Plex Sans" w:hAnsi="IBM Plex Sans" w:cs="Calibri"/>
          <w:sz w:val="22"/>
          <w:szCs w:val="22"/>
        </w:rPr>
      </w:pPr>
      <w:r w:rsidRPr="00526FD8">
        <w:rPr>
          <w:rFonts w:ascii="IBM Plex Sans" w:hAnsi="IBM Plex Sans" w:cs="Calibri"/>
          <w:sz w:val="22"/>
          <w:szCs w:val="22"/>
        </w:rPr>
        <w:t> </w:t>
      </w:r>
      <w:r w:rsidR="001B7CA1" w:rsidRPr="00526FD8">
        <w:rPr>
          <w:rFonts w:ascii="IBM Plex Sans" w:hAnsi="IBM Plex Sans" w:cs="Calibri"/>
          <w:sz w:val="22"/>
          <w:szCs w:val="22"/>
        </w:rPr>
        <w:tab/>
      </w:r>
    </w:p>
    <w:p w14:paraId="1241CFF0" w14:textId="6412D641" w:rsidR="001B7CA1" w:rsidRPr="00526FD8" w:rsidRDefault="001B7CA1" w:rsidP="001C431A">
      <w:pPr>
        <w:rPr>
          <w:rFonts w:ascii="IBM Plex Sans" w:hAnsi="IBM Plex Sans" w:cs="Calibri"/>
          <w:sz w:val="22"/>
          <w:szCs w:val="22"/>
        </w:rPr>
      </w:pPr>
      <w:r w:rsidRPr="00526FD8">
        <w:rPr>
          <w:rFonts w:ascii="IBM Plex Sans" w:hAnsi="IBM Plex Sans" w:cs="Calibri"/>
          <w:sz w:val="22"/>
          <w:szCs w:val="22"/>
        </w:rPr>
        <w:tab/>
        <w:t xml:space="preserve">Provide a configuration </w:t>
      </w:r>
      <w:r w:rsidR="00437B79" w:rsidRPr="00526FD8">
        <w:rPr>
          <w:rFonts w:ascii="IBM Plex Sans" w:hAnsi="IBM Plex Sans" w:cs="Calibri"/>
          <w:sz w:val="22"/>
          <w:szCs w:val="22"/>
        </w:rPr>
        <w:t xml:space="preserve">or </w:t>
      </w:r>
      <w:r w:rsidRPr="00526FD8">
        <w:rPr>
          <w:rFonts w:ascii="IBM Plex Sans" w:hAnsi="IBM Plex Sans" w:cs="Calibri"/>
          <w:sz w:val="22"/>
          <w:szCs w:val="22"/>
        </w:rPr>
        <w:t>plugin with App Connect designer to connect Xero apps without a need for coding</w:t>
      </w:r>
      <w:r w:rsidR="00437B79" w:rsidRPr="00526FD8">
        <w:rPr>
          <w:rFonts w:ascii="IBM Plex Sans" w:hAnsi="IBM Plex Sans" w:cs="Calibri"/>
          <w:sz w:val="22"/>
          <w:szCs w:val="22"/>
        </w:rPr>
        <w:t xml:space="preserve"> and data mapping.</w:t>
      </w:r>
    </w:p>
    <w:p w14:paraId="167160D5" w14:textId="77777777" w:rsidR="001C431A" w:rsidRPr="00526FD8" w:rsidRDefault="001C431A" w:rsidP="00A918BB">
      <w:pPr>
        <w:pStyle w:val="Heading1"/>
        <w:rPr>
          <w:rFonts w:ascii="IBM Plex Sans" w:eastAsia="Times New Roman" w:hAnsi="IBM Plex Sans"/>
          <w:lang w:eastAsia="en-GB"/>
        </w:rPr>
      </w:pPr>
      <w:bookmarkStart w:id="2" w:name="_Toc119666856"/>
      <w:r w:rsidRPr="00526FD8">
        <w:rPr>
          <w:rFonts w:ascii="IBM Plex Sans" w:eastAsia="Times New Roman" w:hAnsi="IBM Plex Sans"/>
          <w:lang w:eastAsia="en-GB"/>
        </w:rPr>
        <w:lastRenderedPageBreak/>
        <w:t>Pain points for the clients</w:t>
      </w:r>
      <w:bookmarkEnd w:id="2"/>
    </w:p>
    <w:p w14:paraId="169C88AD" w14:textId="77777777" w:rsidR="001C431A"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w:t>
      </w:r>
    </w:p>
    <w:p w14:paraId="0E340F4C" w14:textId="77777777" w:rsidR="001C431A" w:rsidRPr="00526FD8" w:rsidRDefault="001C431A" w:rsidP="001C431A">
      <w:pPr>
        <w:ind w:left="1080"/>
        <w:rPr>
          <w:rFonts w:ascii="IBM Plex Sans" w:hAnsi="IBM Plex Sans" w:cs="Calibri"/>
          <w:sz w:val="22"/>
          <w:szCs w:val="22"/>
        </w:rPr>
      </w:pPr>
      <w:proofErr w:type="spellStart"/>
      <w:r w:rsidRPr="00526FD8">
        <w:rPr>
          <w:rFonts w:ascii="IBM Plex Sans" w:hAnsi="IBM Plex Sans" w:cs="Calibri"/>
          <w:sz w:val="22"/>
          <w:szCs w:val="22"/>
        </w:rPr>
        <w:t>Aramar</w:t>
      </w:r>
      <w:proofErr w:type="spellEnd"/>
      <w:r w:rsidRPr="00526FD8">
        <w:rPr>
          <w:rFonts w:ascii="IBM Plex Sans" w:hAnsi="IBM Plex Sans" w:cs="Calibri"/>
          <w:sz w:val="22"/>
          <w:szCs w:val="22"/>
        </w:rPr>
        <w:t xml:space="preserve">, IBM analytics experts are experiencing manual labour for sourcing data from Xero - online accounting software.  This results loss of productivity and </w:t>
      </w:r>
      <w:proofErr w:type="spellStart"/>
      <w:r w:rsidRPr="00526FD8">
        <w:rPr>
          <w:rFonts w:ascii="IBM Plex Sans" w:hAnsi="IBM Plex Sans" w:cs="Calibri"/>
          <w:sz w:val="22"/>
          <w:szCs w:val="22"/>
        </w:rPr>
        <w:t>non integration</w:t>
      </w:r>
      <w:proofErr w:type="spellEnd"/>
      <w:r w:rsidRPr="00526FD8">
        <w:rPr>
          <w:rFonts w:ascii="IBM Plex Sans" w:hAnsi="IBM Plex Sans" w:cs="Calibri"/>
          <w:sz w:val="22"/>
          <w:szCs w:val="22"/>
        </w:rPr>
        <w:t xml:space="preserve"> between the data sources</w:t>
      </w:r>
    </w:p>
    <w:p w14:paraId="7E3B7DCB" w14:textId="77777777" w:rsidR="001C431A"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w:t>
      </w:r>
    </w:p>
    <w:p w14:paraId="4B55D4E0" w14:textId="5A494AA8" w:rsidR="001C431A" w:rsidRPr="00526FD8" w:rsidRDefault="001C431A" w:rsidP="00A918BB">
      <w:pPr>
        <w:pStyle w:val="Heading1"/>
        <w:rPr>
          <w:rFonts w:ascii="IBM Plex Sans" w:eastAsia="Times New Roman" w:hAnsi="IBM Plex Sans"/>
          <w:lang w:eastAsia="en-GB"/>
        </w:rPr>
      </w:pPr>
      <w:bookmarkStart w:id="3" w:name="_Toc119666857"/>
      <w:r w:rsidRPr="00526FD8">
        <w:rPr>
          <w:rFonts w:ascii="IBM Plex Sans" w:eastAsia="Times New Roman" w:hAnsi="IBM Plex Sans"/>
          <w:lang w:eastAsia="en-GB"/>
        </w:rPr>
        <w:t>Highlight the benefits that both Clients and IBM can get from this</w:t>
      </w:r>
      <w:bookmarkEnd w:id="3"/>
    </w:p>
    <w:p w14:paraId="36D4603B" w14:textId="77777777" w:rsidR="001C431A" w:rsidRPr="00526FD8" w:rsidRDefault="001C431A" w:rsidP="001C431A">
      <w:pPr>
        <w:rPr>
          <w:rFonts w:ascii="IBM Plex Sans" w:hAnsi="IBM Plex Sans" w:cs="Calibri"/>
          <w:sz w:val="22"/>
          <w:szCs w:val="22"/>
        </w:rPr>
      </w:pPr>
      <w:r w:rsidRPr="00526FD8">
        <w:rPr>
          <w:rFonts w:ascii="IBM Plex Sans" w:hAnsi="IBM Plex Sans" w:cs="Calibri"/>
          <w:sz w:val="22"/>
          <w:szCs w:val="22"/>
        </w:rPr>
        <w:t> </w:t>
      </w:r>
    </w:p>
    <w:p w14:paraId="0C7C7C85" w14:textId="57369362" w:rsidR="001C431A"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xml:space="preserve">Benefits </w:t>
      </w:r>
      <w:r w:rsidR="00A918BB" w:rsidRPr="00526FD8">
        <w:rPr>
          <w:rFonts w:ascii="IBM Plex Sans" w:hAnsi="IBM Plex Sans" w:cs="Calibri"/>
          <w:sz w:val="22"/>
          <w:szCs w:val="22"/>
        </w:rPr>
        <w:t>–</w:t>
      </w:r>
      <w:r w:rsidRPr="00526FD8">
        <w:rPr>
          <w:rFonts w:ascii="IBM Plex Sans" w:hAnsi="IBM Plex Sans" w:cs="Calibri"/>
          <w:sz w:val="22"/>
          <w:szCs w:val="22"/>
        </w:rPr>
        <w:t xml:space="preserve"> </w:t>
      </w:r>
      <w:proofErr w:type="spellStart"/>
      <w:r w:rsidRPr="00526FD8">
        <w:rPr>
          <w:rFonts w:ascii="IBM Plex Sans" w:hAnsi="IBM Plex Sans" w:cs="Calibri"/>
          <w:sz w:val="22"/>
          <w:szCs w:val="22"/>
        </w:rPr>
        <w:t>Aramar</w:t>
      </w:r>
      <w:proofErr w:type="spellEnd"/>
    </w:p>
    <w:p w14:paraId="515D4CB3" w14:textId="77777777" w:rsidR="00A918BB" w:rsidRPr="00526FD8" w:rsidRDefault="00A918BB" w:rsidP="001C431A">
      <w:pPr>
        <w:ind w:left="1080"/>
        <w:rPr>
          <w:rFonts w:ascii="IBM Plex Sans" w:hAnsi="IBM Plex Sans" w:cs="Calibri"/>
          <w:sz w:val="22"/>
          <w:szCs w:val="22"/>
        </w:rPr>
      </w:pPr>
    </w:p>
    <w:p w14:paraId="1EC1BFED" w14:textId="77777777" w:rsidR="001C431A" w:rsidRPr="00526FD8" w:rsidRDefault="001C431A" w:rsidP="001C431A">
      <w:pPr>
        <w:ind w:left="1620"/>
        <w:rPr>
          <w:rFonts w:ascii="IBM Plex Sans" w:hAnsi="IBM Plex Sans" w:cs="Calibri"/>
          <w:sz w:val="22"/>
          <w:szCs w:val="22"/>
        </w:rPr>
      </w:pPr>
      <w:proofErr w:type="spellStart"/>
      <w:r w:rsidRPr="00526FD8">
        <w:rPr>
          <w:rFonts w:ascii="IBM Plex Sans" w:hAnsi="IBM Plex Sans" w:cs="Calibri"/>
          <w:sz w:val="22"/>
          <w:szCs w:val="22"/>
        </w:rPr>
        <w:t>Aramar</w:t>
      </w:r>
      <w:proofErr w:type="spellEnd"/>
      <w:r w:rsidRPr="00526FD8">
        <w:rPr>
          <w:rFonts w:ascii="IBM Plex Sans" w:hAnsi="IBM Plex Sans" w:cs="Calibri"/>
          <w:sz w:val="22"/>
          <w:szCs w:val="22"/>
        </w:rPr>
        <w:t xml:space="preserve"> has a strong presence in the UK in supporting </w:t>
      </w:r>
      <w:proofErr w:type="gramStart"/>
      <w:r w:rsidRPr="00526FD8">
        <w:rPr>
          <w:rFonts w:ascii="IBM Plex Sans" w:hAnsi="IBM Plex Sans" w:cs="Calibri"/>
          <w:sz w:val="22"/>
          <w:szCs w:val="22"/>
        </w:rPr>
        <w:t>Financial</w:t>
      </w:r>
      <w:proofErr w:type="gramEnd"/>
      <w:r w:rsidRPr="00526FD8">
        <w:rPr>
          <w:rFonts w:ascii="IBM Plex Sans" w:hAnsi="IBM Plex Sans" w:cs="Calibri"/>
          <w:sz w:val="22"/>
          <w:szCs w:val="22"/>
        </w:rPr>
        <w:t xml:space="preserve"> reporting for their customers.  There are around 10+ customers who has PA as SaaS offering.  </w:t>
      </w:r>
    </w:p>
    <w:p w14:paraId="09ECB720" w14:textId="77777777" w:rsidR="001C431A" w:rsidRPr="00526FD8" w:rsidRDefault="001C431A" w:rsidP="001C431A">
      <w:pPr>
        <w:ind w:left="1620"/>
        <w:rPr>
          <w:rFonts w:ascii="IBM Plex Sans" w:hAnsi="IBM Plex Sans" w:cs="Calibri"/>
          <w:sz w:val="22"/>
          <w:szCs w:val="22"/>
        </w:rPr>
      </w:pPr>
      <w:r w:rsidRPr="00526FD8">
        <w:rPr>
          <w:rFonts w:ascii="IBM Plex Sans" w:hAnsi="IBM Plex Sans" w:cs="Calibri"/>
          <w:sz w:val="22"/>
          <w:szCs w:val="22"/>
        </w:rPr>
        <w:t> </w:t>
      </w:r>
    </w:p>
    <w:p w14:paraId="5939F9CD" w14:textId="6C2F06E3" w:rsidR="001C431A" w:rsidRPr="00526FD8" w:rsidRDefault="00A918BB" w:rsidP="00A918BB">
      <w:pPr>
        <w:ind w:left="720"/>
        <w:rPr>
          <w:rFonts w:ascii="IBM Plex Sans" w:hAnsi="IBM Plex Sans" w:cs="Calibri"/>
          <w:sz w:val="22"/>
          <w:szCs w:val="22"/>
        </w:rPr>
      </w:pPr>
      <w:r w:rsidRPr="00526FD8">
        <w:rPr>
          <w:rFonts w:ascii="IBM Plex Sans" w:hAnsi="IBM Plex Sans" w:cs="Calibri"/>
          <w:sz w:val="22"/>
          <w:szCs w:val="22"/>
        </w:rPr>
        <w:t xml:space="preserve">        Benefits - </w:t>
      </w:r>
      <w:r w:rsidR="001C431A" w:rsidRPr="00526FD8">
        <w:rPr>
          <w:rFonts w:ascii="IBM Plex Sans" w:hAnsi="IBM Plex Sans" w:cs="Calibri"/>
          <w:sz w:val="22"/>
          <w:szCs w:val="22"/>
        </w:rPr>
        <w:t>IBM</w:t>
      </w:r>
    </w:p>
    <w:p w14:paraId="7DB23241" w14:textId="77777777" w:rsidR="00A918BB" w:rsidRPr="00526FD8" w:rsidRDefault="00A918BB" w:rsidP="001C431A">
      <w:pPr>
        <w:ind w:left="1620"/>
        <w:rPr>
          <w:rFonts w:ascii="IBM Plex Sans" w:hAnsi="IBM Plex Sans" w:cs="Calibri"/>
          <w:sz w:val="22"/>
          <w:szCs w:val="22"/>
        </w:rPr>
      </w:pPr>
    </w:p>
    <w:p w14:paraId="203109A3" w14:textId="77777777" w:rsidR="001C431A" w:rsidRPr="00526FD8" w:rsidRDefault="001C431A" w:rsidP="001C431A">
      <w:pPr>
        <w:ind w:left="1620"/>
        <w:rPr>
          <w:rFonts w:ascii="IBM Plex Sans" w:hAnsi="IBM Plex Sans" w:cs="Calibri"/>
          <w:sz w:val="22"/>
          <w:szCs w:val="22"/>
        </w:rPr>
      </w:pPr>
      <w:proofErr w:type="spellStart"/>
      <w:r w:rsidRPr="00526FD8">
        <w:rPr>
          <w:rFonts w:ascii="IBM Plex Sans" w:hAnsi="IBM Plex Sans" w:cs="Calibri"/>
          <w:sz w:val="22"/>
          <w:szCs w:val="22"/>
        </w:rPr>
        <w:t>Aramar</w:t>
      </w:r>
      <w:proofErr w:type="spellEnd"/>
      <w:r w:rsidRPr="00526FD8">
        <w:rPr>
          <w:rFonts w:ascii="IBM Plex Sans" w:hAnsi="IBM Plex Sans" w:cs="Calibri"/>
          <w:sz w:val="22"/>
          <w:szCs w:val="22"/>
        </w:rPr>
        <w:t xml:space="preserve"> partnership with IBM and SaaS offering contributes ACV 550,000 GBP annually.</w:t>
      </w:r>
    </w:p>
    <w:p w14:paraId="144B75BA" w14:textId="77777777" w:rsidR="001C431A" w:rsidRPr="00526FD8" w:rsidRDefault="001C431A" w:rsidP="001C431A">
      <w:pPr>
        <w:ind w:left="1620"/>
        <w:rPr>
          <w:rFonts w:ascii="IBM Plex Sans" w:hAnsi="IBM Plex Sans" w:cs="Calibri"/>
          <w:sz w:val="22"/>
          <w:szCs w:val="22"/>
        </w:rPr>
      </w:pPr>
      <w:r w:rsidRPr="00526FD8">
        <w:rPr>
          <w:rFonts w:ascii="IBM Plex Sans" w:hAnsi="IBM Plex Sans" w:cs="Calibri"/>
          <w:sz w:val="22"/>
          <w:szCs w:val="22"/>
        </w:rPr>
        <w:t> </w:t>
      </w:r>
    </w:p>
    <w:p w14:paraId="2DF02D4C" w14:textId="77777777" w:rsidR="001C431A" w:rsidRPr="00526FD8" w:rsidRDefault="001C431A" w:rsidP="001C431A">
      <w:pPr>
        <w:ind w:left="1620"/>
        <w:rPr>
          <w:rFonts w:ascii="IBM Plex Sans" w:hAnsi="IBM Plex Sans" w:cs="Calibri"/>
          <w:sz w:val="22"/>
          <w:szCs w:val="22"/>
        </w:rPr>
      </w:pPr>
      <w:r w:rsidRPr="00526FD8">
        <w:rPr>
          <w:rFonts w:ascii="IBM Plex Sans" w:hAnsi="IBM Plex Sans" w:cs="Calibri"/>
          <w:sz w:val="22"/>
          <w:szCs w:val="22"/>
        </w:rPr>
        <w:t xml:space="preserve">IBM gets an opportunity on cross &amp; up sell IBM Cloud </w:t>
      </w:r>
      <w:proofErr w:type="spellStart"/>
      <w:proofErr w:type="gramStart"/>
      <w:r w:rsidRPr="00526FD8">
        <w:rPr>
          <w:rFonts w:ascii="IBM Plex Sans" w:hAnsi="IBM Plex Sans" w:cs="Calibri"/>
          <w:sz w:val="22"/>
          <w:szCs w:val="22"/>
        </w:rPr>
        <w:t>Paks</w:t>
      </w:r>
      <w:proofErr w:type="spellEnd"/>
      <w:r w:rsidRPr="00526FD8">
        <w:rPr>
          <w:rFonts w:ascii="IBM Plex Sans" w:hAnsi="IBM Plex Sans" w:cs="Calibri"/>
          <w:sz w:val="22"/>
          <w:szCs w:val="22"/>
        </w:rPr>
        <w:t>(</w:t>
      </w:r>
      <w:proofErr w:type="gramEnd"/>
      <w:r w:rsidRPr="00526FD8">
        <w:rPr>
          <w:rFonts w:ascii="IBM Plex Sans" w:hAnsi="IBM Plex Sans" w:cs="Calibri"/>
          <w:sz w:val="22"/>
          <w:szCs w:val="22"/>
        </w:rPr>
        <w:t>CP) for Data (Watson Studio, DB2) + CP for integration (ACE or API)</w:t>
      </w:r>
    </w:p>
    <w:p w14:paraId="72069672" w14:textId="77777777" w:rsidR="001C431A" w:rsidRPr="00526FD8" w:rsidRDefault="001C431A" w:rsidP="001C431A">
      <w:pPr>
        <w:rPr>
          <w:rFonts w:ascii="IBM Plex Sans" w:hAnsi="IBM Plex Sans" w:cs="Calibri"/>
          <w:sz w:val="22"/>
          <w:szCs w:val="22"/>
        </w:rPr>
      </w:pPr>
      <w:r w:rsidRPr="00526FD8">
        <w:rPr>
          <w:rFonts w:ascii="IBM Plex Sans" w:hAnsi="IBM Plex Sans" w:cs="Calibri"/>
          <w:sz w:val="22"/>
          <w:szCs w:val="22"/>
        </w:rPr>
        <w:t> </w:t>
      </w:r>
    </w:p>
    <w:p w14:paraId="01C68B74" w14:textId="0F5AE646" w:rsidR="001C431A" w:rsidRPr="00526FD8" w:rsidRDefault="001C431A" w:rsidP="00A918BB">
      <w:pPr>
        <w:pStyle w:val="Heading1"/>
        <w:rPr>
          <w:rFonts w:ascii="IBM Plex Sans" w:eastAsia="Times New Roman" w:hAnsi="IBM Plex Sans"/>
          <w:lang w:eastAsia="en-GB"/>
        </w:rPr>
      </w:pPr>
      <w:bookmarkStart w:id="4" w:name="_Toc119666858"/>
      <w:r w:rsidRPr="00526FD8">
        <w:rPr>
          <w:rFonts w:ascii="IBM Plex Sans" w:eastAsia="Times New Roman" w:hAnsi="IBM Plex Sans"/>
          <w:lang w:eastAsia="en-GB"/>
        </w:rPr>
        <w:t>Any common Roadblocks</w:t>
      </w:r>
      <w:bookmarkEnd w:id="4"/>
    </w:p>
    <w:p w14:paraId="2D40C32E" w14:textId="77777777" w:rsidR="00A918BB" w:rsidRPr="00526FD8" w:rsidRDefault="00A918BB" w:rsidP="00A918BB">
      <w:pPr>
        <w:rPr>
          <w:rFonts w:ascii="IBM Plex Sans" w:hAnsi="IBM Plex Sans"/>
        </w:rPr>
      </w:pPr>
    </w:p>
    <w:p w14:paraId="38E09451" w14:textId="77777777" w:rsidR="001C431A" w:rsidRPr="00526FD8" w:rsidRDefault="001C431A" w:rsidP="001C431A">
      <w:pPr>
        <w:ind w:left="1620"/>
        <w:rPr>
          <w:rFonts w:ascii="IBM Plex Sans" w:hAnsi="IBM Plex Sans" w:cs="Calibri"/>
          <w:sz w:val="22"/>
          <w:szCs w:val="22"/>
        </w:rPr>
      </w:pPr>
      <w:r w:rsidRPr="00526FD8">
        <w:rPr>
          <w:rFonts w:ascii="IBM Plex Sans" w:hAnsi="IBM Plex Sans" w:cs="Calibri"/>
          <w:sz w:val="22"/>
          <w:szCs w:val="22"/>
        </w:rPr>
        <w:t xml:space="preserve">Need to do a product assessment on the viable solution in integrating Xero and Planning Analytics </w:t>
      </w:r>
    </w:p>
    <w:p w14:paraId="1AA6C398" w14:textId="77777777" w:rsidR="001C431A" w:rsidRPr="00526FD8" w:rsidRDefault="001C431A" w:rsidP="001C431A">
      <w:pPr>
        <w:ind w:left="1620"/>
        <w:rPr>
          <w:rFonts w:ascii="IBM Plex Sans" w:hAnsi="IBM Plex Sans" w:cs="Calibri"/>
          <w:sz w:val="22"/>
          <w:szCs w:val="22"/>
        </w:rPr>
      </w:pPr>
      <w:r w:rsidRPr="00526FD8">
        <w:rPr>
          <w:rFonts w:ascii="IBM Plex Sans" w:hAnsi="IBM Plex Sans" w:cs="Calibri"/>
          <w:sz w:val="22"/>
          <w:szCs w:val="22"/>
        </w:rPr>
        <w:t> </w:t>
      </w:r>
    </w:p>
    <w:p w14:paraId="0AAA525F" w14:textId="77777777" w:rsidR="001C431A" w:rsidRPr="00526FD8" w:rsidRDefault="001C431A" w:rsidP="001C431A">
      <w:pPr>
        <w:ind w:left="1620"/>
        <w:rPr>
          <w:rFonts w:ascii="IBM Plex Sans" w:hAnsi="IBM Plex Sans" w:cs="Calibri"/>
          <w:sz w:val="22"/>
          <w:szCs w:val="22"/>
        </w:rPr>
      </w:pPr>
      <w:r w:rsidRPr="00526FD8">
        <w:rPr>
          <w:rFonts w:ascii="IBM Plex Sans" w:hAnsi="IBM Plex Sans" w:cs="Calibri"/>
          <w:sz w:val="22"/>
          <w:szCs w:val="22"/>
        </w:rPr>
        <w:t> </w:t>
      </w:r>
    </w:p>
    <w:p w14:paraId="4326CA2C" w14:textId="77777777" w:rsidR="001C431A" w:rsidRPr="00526FD8" w:rsidRDefault="001C431A" w:rsidP="00A918BB">
      <w:pPr>
        <w:pStyle w:val="Heading1"/>
        <w:rPr>
          <w:rFonts w:ascii="IBM Plex Sans" w:eastAsia="Times New Roman" w:hAnsi="IBM Plex Sans"/>
          <w:lang w:eastAsia="en-GB"/>
        </w:rPr>
      </w:pPr>
      <w:bookmarkStart w:id="5" w:name="_Toc119666859"/>
      <w:r w:rsidRPr="00526FD8">
        <w:rPr>
          <w:rFonts w:ascii="IBM Plex Sans" w:eastAsia="Times New Roman" w:hAnsi="IBM Plex Sans"/>
          <w:lang w:eastAsia="en-GB"/>
        </w:rPr>
        <w:t>Most frequently encountered competitors for IBM in this region</w:t>
      </w:r>
      <w:bookmarkEnd w:id="5"/>
    </w:p>
    <w:p w14:paraId="4226D4A6" w14:textId="77777777" w:rsidR="001C431A" w:rsidRPr="00526FD8" w:rsidRDefault="001C431A" w:rsidP="001C431A">
      <w:pPr>
        <w:ind w:left="540"/>
        <w:rPr>
          <w:rFonts w:ascii="IBM Plex Sans" w:hAnsi="IBM Plex Sans" w:cs="Calibri"/>
          <w:sz w:val="22"/>
          <w:szCs w:val="22"/>
        </w:rPr>
      </w:pPr>
      <w:r w:rsidRPr="00526FD8">
        <w:rPr>
          <w:rFonts w:ascii="IBM Plex Sans" w:hAnsi="IBM Plex Sans" w:cs="Calibri"/>
          <w:sz w:val="22"/>
          <w:szCs w:val="22"/>
        </w:rPr>
        <w:t> </w:t>
      </w:r>
    </w:p>
    <w:p w14:paraId="05D1BDC5" w14:textId="77777777" w:rsidR="006D1AC8" w:rsidRPr="00526FD8" w:rsidRDefault="006D1AC8" w:rsidP="006D1AC8">
      <w:pPr>
        <w:pStyle w:val="ListParagraph"/>
        <w:numPr>
          <w:ilvl w:val="0"/>
          <w:numId w:val="7"/>
        </w:numPr>
        <w:rPr>
          <w:rFonts w:ascii="IBM Plex Sans" w:eastAsia="Times New Roman" w:hAnsi="IBM Plex Sans" w:cs="Calibri"/>
          <w:sz w:val="22"/>
          <w:szCs w:val="22"/>
          <w:lang w:eastAsia="en-GB"/>
        </w:rPr>
      </w:pPr>
      <w:r w:rsidRPr="00526FD8">
        <w:rPr>
          <w:rFonts w:ascii="IBM Plex Sans" w:eastAsia="Times New Roman" w:hAnsi="IBM Plex Sans" w:cs="Calibri"/>
          <w:sz w:val="22"/>
          <w:szCs w:val="22"/>
          <w:lang w:eastAsia="en-GB"/>
        </w:rPr>
        <w:t>Integrate IO provide a plug in for integrating DB2 &amp; Xero</w:t>
      </w:r>
    </w:p>
    <w:p w14:paraId="4AC34FF5" w14:textId="7F51F9D5" w:rsidR="006D1AC8" w:rsidRPr="00526FD8" w:rsidRDefault="006D1AC8" w:rsidP="006D1AC8">
      <w:pPr>
        <w:pStyle w:val="ListParagraph"/>
        <w:ind w:left="1800"/>
        <w:rPr>
          <w:rFonts w:ascii="IBM Plex Sans" w:eastAsia="Times New Roman" w:hAnsi="IBM Plex Sans" w:cs="Calibri"/>
          <w:sz w:val="22"/>
          <w:szCs w:val="22"/>
          <w:lang w:eastAsia="en-GB"/>
        </w:rPr>
      </w:pPr>
    </w:p>
    <w:p w14:paraId="66B8B5E6" w14:textId="791AFF85" w:rsidR="001C431A" w:rsidRPr="00526FD8" w:rsidRDefault="00000000" w:rsidP="001C431A">
      <w:pPr>
        <w:ind w:left="1080"/>
        <w:rPr>
          <w:rFonts w:ascii="IBM Plex Sans" w:hAnsi="IBM Plex Sans" w:cs="Calibri"/>
          <w:sz w:val="22"/>
          <w:szCs w:val="22"/>
        </w:rPr>
      </w:pPr>
      <w:hyperlink r:id="rId6" w:history="1">
        <w:r w:rsidR="006D1AC8" w:rsidRPr="00526FD8">
          <w:rPr>
            <w:rStyle w:val="Hyperlink"/>
            <w:rFonts w:ascii="IBM Plex Sans" w:hAnsi="IBM Plex Sans" w:cs="Calibri"/>
            <w:sz w:val="22"/>
            <w:szCs w:val="22"/>
          </w:rPr>
          <w:t>https://www.integrate.io/partners/</w:t>
        </w:r>
      </w:hyperlink>
    </w:p>
    <w:p w14:paraId="13D9EDBC" w14:textId="1FFE5F1D" w:rsidR="006D1AC8" w:rsidRPr="00526FD8" w:rsidRDefault="006D1AC8" w:rsidP="001C431A">
      <w:pPr>
        <w:ind w:left="1080"/>
        <w:rPr>
          <w:rFonts w:ascii="IBM Plex Sans" w:hAnsi="IBM Plex Sans" w:cs="Calibri"/>
          <w:sz w:val="22"/>
          <w:szCs w:val="22"/>
        </w:rPr>
      </w:pPr>
    </w:p>
    <w:p w14:paraId="7C939274" w14:textId="2D447184" w:rsidR="006D1AC8" w:rsidRPr="00526FD8" w:rsidRDefault="006D1AC8" w:rsidP="006D1AC8">
      <w:pPr>
        <w:pStyle w:val="ListParagraph"/>
        <w:numPr>
          <w:ilvl w:val="0"/>
          <w:numId w:val="7"/>
        </w:numPr>
        <w:rPr>
          <w:rFonts w:ascii="IBM Plex Sans" w:eastAsia="Times New Roman" w:hAnsi="IBM Plex Sans" w:cs="Calibri"/>
          <w:sz w:val="22"/>
          <w:szCs w:val="22"/>
          <w:lang w:eastAsia="en-GB"/>
        </w:rPr>
      </w:pPr>
      <w:r w:rsidRPr="00526FD8">
        <w:rPr>
          <w:rFonts w:ascii="IBM Plex Sans" w:eastAsia="Times New Roman" w:hAnsi="IBM Plex Sans" w:cs="Calibri"/>
          <w:sz w:val="22"/>
          <w:szCs w:val="22"/>
          <w:lang w:eastAsia="en-GB"/>
        </w:rPr>
        <w:t>Anaplan</w:t>
      </w:r>
      <w:r w:rsidR="007D48D2" w:rsidRPr="00526FD8">
        <w:rPr>
          <w:rFonts w:ascii="IBM Plex Sans" w:eastAsia="Times New Roman" w:hAnsi="IBM Plex Sans" w:cs="Calibri"/>
          <w:sz w:val="22"/>
          <w:szCs w:val="22"/>
          <w:lang w:eastAsia="en-GB"/>
        </w:rPr>
        <w:t xml:space="preserve"> (not such integration in specific to Xero)</w:t>
      </w:r>
    </w:p>
    <w:p w14:paraId="5B4506A8" w14:textId="2FF5A25A" w:rsidR="006D1AC8" w:rsidRPr="00526FD8" w:rsidRDefault="006D1AC8" w:rsidP="001C431A">
      <w:pPr>
        <w:ind w:left="1080"/>
        <w:rPr>
          <w:rFonts w:ascii="IBM Plex Sans" w:hAnsi="IBM Plex Sans" w:cs="Calibri"/>
          <w:sz w:val="22"/>
          <w:szCs w:val="22"/>
        </w:rPr>
      </w:pPr>
    </w:p>
    <w:p w14:paraId="159CA8F4" w14:textId="77777777" w:rsidR="001C431A"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w:t>
      </w:r>
    </w:p>
    <w:p w14:paraId="360A6405" w14:textId="77777777" w:rsidR="001C431A"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w:t>
      </w:r>
    </w:p>
    <w:p w14:paraId="47ABE351" w14:textId="77777777" w:rsidR="001C431A"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w:t>
      </w:r>
    </w:p>
    <w:p w14:paraId="283C698D" w14:textId="21BB1553" w:rsidR="001C431A" w:rsidRPr="00526FD8" w:rsidRDefault="001C431A" w:rsidP="00A918BB">
      <w:pPr>
        <w:pStyle w:val="Heading1"/>
        <w:rPr>
          <w:rFonts w:ascii="IBM Plex Sans" w:eastAsia="Times New Roman" w:hAnsi="IBM Plex Sans"/>
          <w:lang w:eastAsia="en-GB"/>
        </w:rPr>
      </w:pPr>
      <w:bookmarkStart w:id="6" w:name="_Toc119666860"/>
      <w:r w:rsidRPr="00526FD8">
        <w:rPr>
          <w:rFonts w:ascii="IBM Plex Sans" w:eastAsia="Times New Roman" w:hAnsi="IBM Plex Sans"/>
          <w:lang w:eastAsia="en-GB"/>
        </w:rPr>
        <w:lastRenderedPageBreak/>
        <w:t>What are our strengths &amp; weakness</w:t>
      </w:r>
      <w:bookmarkEnd w:id="6"/>
    </w:p>
    <w:p w14:paraId="212DE214" w14:textId="77777777" w:rsidR="00A918BB" w:rsidRPr="00526FD8" w:rsidRDefault="00A918BB" w:rsidP="00A918BB">
      <w:pPr>
        <w:rPr>
          <w:rFonts w:ascii="IBM Plex Sans" w:hAnsi="IBM Plex Sans"/>
        </w:rPr>
      </w:pPr>
    </w:p>
    <w:p w14:paraId="57A6B7E9" w14:textId="77777777" w:rsidR="007D48D2"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xml:space="preserve">Strengths:  </w:t>
      </w:r>
    </w:p>
    <w:p w14:paraId="30AA18DF" w14:textId="7A7E3AE7" w:rsidR="001C431A"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Seamless integration of ACE or API connect with PA</w:t>
      </w:r>
    </w:p>
    <w:p w14:paraId="0888E3E7" w14:textId="77777777" w:rsidR="001C431A"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w:t>
      </w:r>
    </w:p>
    <w:p w14:paraId="4D24091B" w14:textId="77777777" w:rsidR="007D48D2" w:rsidRPr="00526FD8" w:rsidRDefault="001C431A" w:rsidP="001C431A">
      <w:pPr>
        <w:ind w:left="1080"/>
        <w:rPr>
          <w:rFonts w:ascii="IBM Plex Sans" w:hAnsi="IBM Plex Sans" w:cs="Calibri"/>
          <w:sz w:val="22"/>
          <w:szCs w:val="22"/>
        </w:rPr>
      </w:pPr>
      <w:r w:rsidRPr="00526FD8">
        <w:rPr>
          <w:rFonts w:ascii="IBM Plex Sans" w:hAnsi="IBM Plex Sans" w:cs="Calibri"/>
          <w:sz w:val="22"/>
          <w:szCs w:val="22"/>
        </w:rPr>
        <w:t xml:space="preserve">Weakness: </w:t>
      </w:r>
    </w:p>
    <w:p w14:paraId="069BD3F0" w14:textId="522AC067" w:rsidR="001C431A" w:rsidRPr="00526FD8" w:rsidRDefault="006D1AC8" w:rsidP="001C431A">
      <w:pPr>
        <w:ind w:left="1080"/>
        <w:rPr>
          <w:rFonts w:ascii="IBM Plex Sans" w:hAnsi="IBM Plex Sans" w:cs="Calibri"/>
          <w:sz w:val="22"/>
          <w:szCs w:val="22"/>
        </w:rPr>
      </w:pPr>
      <w:r w:rsidRPr="00526FD8">
        <w:rPr>
          <w:rFonts w:ascii="IBM Plex Sans" w:hAnsi="IBM Plex Sans" w:cs="Calibri"/>
          <w:sz w:val="22"/>
          <w:szCs w:val="22"/>
        </w:rPr>
        <w:t xml:space="preserve">Legacy, expensive, old &amp; slow, </w:t>
      </w:r>
      <w:proofErr w:type="gramStart"/>
      <w:r w:rsidRPr="00526FD8">
        <w:rPr>
          <w:rFonts w:ascii="IBM Plex Sans" w:hAnsi="IBM Plex Sans" w:cs="Calibri"/>
          <w:sz w:val="22"/>
          <w:szCs w:val="22"/>
        </w:rPr>
        <w:t>On</w:t>
      </w:r>
      <w:proofErr w:type="gramEnd"/>
      <w:r w:rsidRPr="00526FD8">
        <w:rPr>
          <w:rFonts w:ascii="IBM Plex Sans" w:hAnsi="IBM Plex Sans" w:cs="Calibri"/>
          <w:sz w:val="22"/>
          <w:szCs w:val="22"/>
        </w:rPr>
        <w:t xml:space="preserve"> prem data source integrations are missing</w:t>
      </w:r>
    </w:p>
    <w:p w14:paraId="33627AEA" w14:textId="55815618" w:rsidR="00437B79" w:rsidRPr="00526FD8" w:rsidRDefault="00437B79" w:rsidP="00437B79">
      <w:pPr>
        <w:pStyle w:val="Heading1"/>
        <w:rPr>
          <w:rFonts w:ascii="IBM Plex Sans" w:eastAsia="Times New Roman" w:hAnsi="IBM Plex Sans"/>
          <w:lang w:eastAsia="en-GB"/>
        </w:rPr>
      </w:pPr>
      <w:r w:rsidRPr="00526FD8">
        <w:rPr>
          <w:rFonts w:ascii="IBM Plex Sans" w:eastAsia="Times New Roman" w:hAnsi="IBM Plex Sans"/>
          <w:lang w:eastAsia="en-GB"/>
        </w:rPr>
        <w:t>References &amp; Background</w:t>
      </w:r>
    </w:p>
    <w:p w14:paraId="5DD0B055" w14:textId="2A099003" w:rsidR="00437B79" w:rsidRPr="00526FD8" w:rsidRDefault="00437B79" w:rsidP="00437B79">
      <w:pPr>
        <w:rPr>
          <w:rFonts w:ascii="IBM Plex Sans" w:hAnsi="IBM Plex Sans"/>
        </w:rPr>
      </w:pPr>
    </w:p>
    <w:p w14:paraId="1A6DC204" w14:textId="2B51421C" w:rsidR="00437B79" w:rsidRPr="00526FD8" w:rsidRDefault="00437B79" w:rsidP="00437B79">
      <w:pPr>
        <w:rPr>
          <w:rFonts w:ascii="IBM Plex Sans" w:hAnsi="IBM Plex Sans"/>
        </w:rPr>
      </w:pPr>
      <w:proofErr w:type="spellStart"/>
      <w:r w:rsidRPr="00526FD8">
        <w:rPr>
          <w:rFonts w:ascii="IBM Plex Sans" w:hAnsi="IBM Plex Sans"/>
        </w:rPr>
        <w:t>Aramar</w:t>
      </w:r>
      <w:proofErr w:type="spellEnd"/>
      <w:r w:rsidRPr="00526FD8">
        <w:rPr>
          <w:rFonts w:ascii="IBM Plex Sans" w:hAnsi="IBM Plex Sans"/>
        </w:rPr>
        <w:t>:  IBM Analytics experts, helping you make the most of your financial data</w:t>
      </w:r>
    </w:p>
    <w:p w14:paraId="3195EF67" w14:textId="11FBDDAD" w:rsidR="00437B79" w:rsidRPr="00526FD8" w:rsidRDefault="00437B79" w:rsidP="00437B79">
      <w:pPr>
        <w:rPr>
          <w:rFonts w:ascii="IBM Plex Sans" w:hAnsi="IBM Plex Sans"/>
        </w:rPr>
      </w:pPr>
      <w:r w:rsidRPr="00526FD8">
        <w:rPr>
          <w:rFonts w:ascii="IBM Plex Sans" w:hAnsi="IBM Plex Sans"/>
        </w:rPr>
        <w:t xml:space="preserve">In the UKI Market, </w:t>
      </w:r>
      <w:proofErr w:type="spellStart"/>
      <w:r w:rsidRPr="00526FD8">
        <w:rPr>
          <w:rFonts w:ascii="IBM Plex Sans" w:hAnsi="IBM Plex Sans"/>
        </w:rPr>
        <w:t>Aramar</w:t>
      </w:r>
      <w:proofErr w:type="spellEnd"/>
      <w:r w:rsidRPr="00526FD8">
        <w:rPr>
          <w:rFonts w:ascii="IBM Plex Sans" w:hAnsi="IBM Plex Sans"/>
        </w:rPr>
        <w:t xml:space="preserve"> has 13 + clients and the ACV around 550,000 GBP.  </w:t>
      </w:r>
    </w:p>
    <w:p w14:paraId="0673E8F4" w14:textId="105646CD" w:rsidR="00437B79" w:rsidRPr="00526FD8" w:rsidRDefault="00437B79" w:rsidP="00437B79">
      <w:pPr>
        <w:rPr>
          <w:rFonts w:ascii="IBM Plex Sans" w:hAnsi="IBM Plex Sans"/>
        </w:rPr>
      </w:pPr>
      <w:proofErr w:type="spellStart"/>
      <w:r w:rsidRPr="00526FD8">
        <w:rPr>
          <w:rFonts w:ascii="IBM Plex Sans" w:hAnsi="IBM Plex Sans"/>
        </w:rPr>
        <w:t>Aramar</w:t>
      </w:r>
      <w:proofErr w:type="spellEnd"/>
      <w:r w:rsidRPr="00526FD8">
        <w:rPr>
          <w:rFonts w:ascii="IBM Plex Sans" w:hAnsi="IBM Plex Sans"/>
        </w:rPr>
        <w:t xml:space="preserve"> client’s list</w:t>
      </w:r>
    </w:p>
    <w:p w14:paraId="58E6E0FE" w14:textId="2C5244CB" w:rsidR="00437B79" w:rsidRPr="00526FD8" w:rsidRDefault="00437B79" w:rsidP="00437B79">
      <w:pPr>
        <w:rPr>
          <w:rFonts w:ascii="IBM Plex Sans" w:hAnsi="IBM Plex Sans"/>
        </w:rPr>
      </w:pPr>
    </w:p>
    <w:p w14:paraId="641E9D80" w14:textId="77777777" w:rsidR="00410F77" w:rsidRPr="00526FD8" w:rsidRDefault="00437B79" w:rsidP="00437B79">
      <w:pPr>
        <w:rPr>
          <w:rFonts w:ascii="IBM Plex Sans" w:hAnsi="IBM Plex Sans"/>
        </w:rPr>
      </w:pPr>
      <w:r w:rsidRPr="00526FD8">
        <w:rPr>
          <w:rFonts w:ascii="IBM Plex Sans" w:hAnsi="IBM Plex Sans"/>
        </w:rPr>
        <w:tab/>
      </w:r>
    </w:p>
    <w:tbl>
      <w:tblPr>
        <w:tblW w:w="3760" w:type="dxa"/>
        <w:tblLook w:val="04A0" w:firstRow="1" w:lastRow="0" w:firstColumn="1" w:lastColumn="0" w:noHBand="0" w:noVBand="1"/>
      </w:tblPr>
      <w:tblGrid>
        <w:gridCol w:w="3760"/>
      </w:tblGrid>
      <w:tr w:rsidR="00410F77" w:rsidRPr="00526FD8" w14:paraId="127CD59D" w14:textId="77777777" w:rsidTr="00410F77">
        <w:trPr>
          <w:trHeight w:val="300"/>
        </w:trPr>
        <w:tc>
          <w:tcPr>
            <w:tcW w:w="3760" w:type="dxa"/>
            <w:tcBorders>
              <w:top w:val="nil"/>
              <w:left w:val="nil"/>
              <w:bottom w:val="nil"/>
              <w:right w:val="nil"/>
            </w:tcBorders>
            <w:shd w:val="clear" w:color="auto" w:fill="auto"/>
            <w:noWrap/>
            <w:vAlign w:val="bottom"/>
            <w:hideMark/>
          </w:tcPr>
          <w:p w14:paraId="058D22CD"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OMNIPAY</w:t>
            </w:r>
          </w:p>
        </w:tc>
      </w:tr>
      <w:tr w:rsidR="00410F77" w:rsidRPr="00526FD8" w14:paraId="6EB9D2D0" w14:textId="77777777" w:rsidTr="00410F77">
        <w:trPr>
          <w:trHeight w:val="300"/>
        </w:trPr>
        <w:tc>
          <w:tcPr>
            <w:tcW w:w="3760" w:type="dxa"/>
            <w:tcBorders>
              <w:top w:val="nil"/>
              <w:left w:val="nil"/>
              <w:bottom w:val="nil"/>
              <w:right w:val="nil"/>
            </w:tcBorders>
            <w:shd w:val="clear" w:color="auto" w:fill="auto"/>
            <w:noWrap/>
            <w:vAlign w:val="bottom"/>
            <w:hideMark/>
          </w:tcPr>
          <w:p w14:paraId="5A1B91EB"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ACADIA HEALTHCARE</w:t>
            </w:r>
          </w:p>
        </w:tc>
      </w:tr>
      <w:tr w:rsidR="00410F77" w:rsidRPr="00526FD8" w14:paraId="55068347" w14:textId="77777777" w:rsidTr="00410F77">
        <w:trPr>
          <w:trHeight w:val="300"/>
        </w:trPr>
        <w:tc>
          <w:tcPr>
            <w:tcW w:w="3760" w:type="dxa"/>
            <w:tcBorders>
              <w:top w:val="nil"/>
              <w:left w:val="nil"/>
              <w:bottom w:val="nil"/>
              <w:right w:val="nil"/>
            </w:tcBorders>
            <w:shd w:val="clear" w:color="auto" w:fill="auto"/>
            <w:noWrap/>
            <w:vAlign w:val="bottom"/>
            <w:hideMark/>
          </w:tcPr>
          <w:p w14:paraId="69D96BB9"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FILTRONA PLC</w:t>
            </w:r>
          </w:p>
        </w:tc>
      </w:tr>
      <w:tr w:rsidR="00410F77" w:rsidRPr="00526FD8" w14:paraId="404E1726" w14:textId="77777777" w:rsidTr="00410F77">
        <w:trPr>
          <w:trHeight w:val="300"/>
        </w:trPr>
        <w:tc>
          <w:tcPr>
            <w:tcW w:w="3760" w:type="dxa"/>
            <w:tcBorders>
              <w:top w:val="nil"/>
              <w:left w:val="nil"/>
              <w:bottom w:val="nil"/>
              <w:right w:val="nil"/>
            </w:tcBorders>
            <w:shd w:val="clear" w:color="auto" w:fill="auto"/>
            <w:noWrap/>
            <w:vAlign w:val="bottom"/>
            <w:hideMark/>
          </w:tcPr>
          <w:p w14:paraId="75E72A49"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VOLITION DIAGNOSTICS UK LIMITED</w:t>
            </w:r>
          </w:p>
        </w:tc>
      </w:tr>
      <w:tr w:rsidR="00410F77" w:rsidRPr="00526FD8" w14:paraId="7E7E9D3B" w14:textId="77777777" w:rsidTr="00410F77">
        <w:trPr>
          <w:trHeight w:val="300"/>
        </w:trPr>
        <w:tc>
          <w:tcPr>
            <w:tcW w:w="3760" w:type="dxa"/>
            <w:tcBorders>
              <w:top w:val="nil"/>
              <w:left w:val="nil"/>
              <w:bottom w:val="nil"/>
              <w:right w:val="nil"/>
            </w:tcBorders>
            <w:shd w:val="clear" w:color="auto" w:fill="auto"/>
            <w:noWrap/>
            <w:vAlign w:val="bottom"/>
            <w:hideMark/>
          </w:tcPr>
          <w:p w14:paraId="0EDAE48D"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RIVER ISLAND</w:t>
            </w:r>
          </w:p>
        </w:tc>
      </w:tr>
      <w:tr w:rsidR="00410F77" w:rsidRPr="00526FD8" w14:paraId="1E4ADF39" w14:textId="77777777" w:rsidTr="00410F77">
        <w:trPr>
          <w:trHeight w:val="300"/>
        </w:trPr>
        <w:tc>
          <w:tcPr>
            <w:tcW w:w="3760" w:type="dxa"/>
            <w:tcBorders>
              <w:top w:val="nil"/>
              <w:left w:val="nil"/>
              <w:bottom w:val="nil"/>
              <w:right w:val="nil"/>
            </w:tcBorders>
            <w:shd w:val="clear" w:color="auto" w:fill="auto"/>
            <w:noWrap/>
            <w:vAlign w:val="bottom"/>
            <w:hideMark/>
          </w:tcPr>
          <w:p w14:paraId="5A62E07C"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IMPERIAL TOBACCO GROUP PLC</w:t>
            </w:r>
          </w:p>
        </w:tc>
      </w:tr>
      <w:tr w:rsidR="00410F77" w:rsidRPr="00526FD8" w14:paraId="0BA1C046" w14:textId="77777777" w:rsidTr="00410F77">
        <w:trPr>
          <w:trHeight w:val="300"/>
        </w:trPr>
        <w:tc>
          <w:tcPr>
            <w:tcW w:w="3760" w:type="dxa"/>
            <w:tcBorders>
              <w:top w:val="nil"/>
              <w:left w:val="nil"/>
              <w:bottom w:val="nil"/>
              <w:right w:val="nil"/>
            </w:tcBorders>
            <w:shd w:val="clear" w:color="auto" w:fill="auto"/>
            <w:noWrap/>
            <w:vAlign w:val="bottom"/>
            <w:hideMark/>
          </w:tcPr>
          <w:p w14:paraId="39624FF2"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MYRIAD GROUP LIMITED</w:t>
            </w:r>
          </w:p>
        </w:tc>
      </w:tr>
      <w:tr w:rsidR="00410F77" w:rsidRPr="00526FD8" w14:paraId="2F7BF177" w14:textId="77777777" w:rsidTr="00410F77">
        <w:trPr>
          <w:trHeight w:val="300"/>
        </w:trPr>
        <w:tc>
          <w:tcPr>
            <w:tcW w:w="3760" w:type="dxa"/>
            <w:tcBorders>
              <w:top w:val="nil"/>
              <w:left w:val="nil"/>
              <w:bottom w:val="nil"/>
              <w:right w:val="nil"/>
            </w:tcBorders>
            <w:shd w:val="clear" w:color="auto" w:fill="auto"/>
            <w:noWrap/>
            <w:vAlign w:val="bottom"/>
            <w:hideMark/>
          </w:tcPr>
          <w:p w14:paraId="5759EA3C"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KKR MATTERHORN BIDCO LIMITED</w:t>
            </w:r>
          </w:p>
        </w:tc>
      </w:tr>
      <w:tr w:rsidR="00410F77" w:rsidRPr="00526FD8" w14:paraId="18D44E17" w14:textId="77777777" w:rsidTr="00410F77">
        <w:trPr>
          <w:trHeight w:val="300"/>
        </w:trPr>
        <w:tc>
          <w:tcPr>
            <w:tcW w:w="3760" w:type="dxa"/>
            <w:tcBorders>
              <w:top w:val="nil"/>
              <w:left w:val="nil"/>
              <w:bottom w:val="nil"/>
              <w:right w:val="nil"/>
            </w:tcBorders>
            <w:shd w:val="clear" w:color="auto" w:fill="auto"/>
            <w:noWrap/>
            <w:vAlign w:val="bottom"/>
            <w:hideMark/>
          </w:tcPr>
          <w:p w14:paraId="40EB2AC3"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Logicalis Group Limited</w:t>
            </w:r>
          </w:p>
        </w:tc>
      </w:tr>
      <w:tr w:rsidR="00410F77" w:rsidRPr="00526FD8" w14:paraId="49356A48" w14:textId="77777777" w:rsidTr="00410F77">
        <w:trPr>
          <w:trHeight w:val="300"/>
        </w:trPr>
        <w:tc>
          <w:tcPr>
            <w:tcW w:w="3760" w:type="dxa"/>
            <w:tcBorders>
              <w:top w:val="nil"/>
              <w:left w:val="nil"/>
              <w:bottom w:val="nil"/>
              <w:right w:val="nil"/>
            </w:tcBorders>
            <w:shd w:val="clear" w:color="auto" w:fill="auto"/>
            <w:noWrap/>
            <w:vAlign w:val="bottom"/>
            <w:hideMark/>
          </w:tcPr>
          <w:p w14:paraId="05A94129"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ENETT INTERNATIONAL (JERSEY) LIMITED</w:t>
            </w:r>
          </w:p>
        </w:tc>
      </w:tr>
      <w:tr w:rsidR="00410F77" w:rsidRPr="00526FD8" w14:paraId="74A09FA5" w14:textId="77777777" w:rsidTr="00410F77">
        <w:trPr>
          <w:trHeight w:val="300"/>
        </w:trPr>
        <w:tc>
          <w:tcPr>
            <w:tcW w:w="3760" w:type="dxa"/>
            <w:tcBorders>
              <w:top w:val="nil"/>
              <w:left w:val="nil"/>
              <w:bottom w:val="nil"/>
              <w:right w:val="nil"/>
            </w:tcBorders>
            <w:shd w:val="clear" w:color="auto" w:fill="auto"/>
            <w:noWrap/>
            <w:vAlign w:val="bottom"/>
            <w:hideMark/>
          </w:tcPr>
          <w:p w14:paraId="213B2253"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1SPATIAL</w:t>
            </w:r>
          </w:p>
        </w:tc>
      </w:tr>
      <w:tr w:rsidR="00410F77" w:rsidRPr="00526FD8" w14:paraId="5595D7A5" w14:textId="77777777" w:rsidTr="00410F77">
        <w:trPr>
          <w:trHeight w:val="300"/>
        </w:trPr>
        <w:tc>
          <w:tcPr>
            <w:tcW w:w="3760" w:type="dxa"/>
            <w:tcBorders>
              <w:top w:val="nil"/>
              <w:left w:val="nil"/>
              <w:bottom w:val="nil"/>
              <w:right w:val="nil"/>
            </w:tcBorders>
            <w:shd w:val="clear" w:color="auto" w:fill="auto"/>
            <w:noWrap/>
            <w:vAlign w:val="bottom"/>
            <w:hideMark/>
          </w:tcPr>
          <w:p w14:paraId="51196072" w14:textId="77777777" w:rsidR="00410F77" w:rsidRPr="00526FD8" w:rsidRDefault="00410F77">
            <w:pPr>
              <w:rPr>
                <w:rFonts w:ascii="IBM Plex Sans" w:hAnsi="IBM Plex Sans" w:cs="Calibri"/>
                <w:color w:val="000000"/>
                <w:sz w:val="22"/>
                <w:szCs w:val="22"/>
              </w:rPr>
            </w:pPr>
            <w:r w:rsidRPr="00526FD8">
              <w:rPr>
                <w:rFonts w:ascii="IBM Plex Sans" w:hAnsi="IBM Plex Sans" w:cs="Calibri"/>
                <w:color w:val="000000"/>
                <w:sz w:val="22"/>
                <w:szCs w:val="22"/>
              </w:rPr>
              <w:t>NUVIAS GROUP LIMITED</w:t>
            </w:r>
          </w:p>
        </w:tc>
      </w:tr>
    </w:tbl>
    <w:p w14:paraId="6B25F563" w14:textId="007A0501" w:rsidR="00437B79" w:rsidRPr="00526FD8" w:rsidRDefault="00437B79" w:rsidP="00437B79">
      <w:pPr>
        <w:rPr>
          <w:rFonts w:ascii="IBM Plex Sans" w:hAnsi="IBM Plex Sans"/>
        </w:rPr>
      </w:pPr>
    </w:p>
    <w:p w14:paraId="140393D4" w14:textId="77777777" w:rsidR="00437B79" w:rsidRPr="00526FD8" w:rsidRDefault="00437B79" w:rsidP="00437B79">
      <w:pPr>
        <w:rPr>
          <w:rFonts w:ascii="IBM Plex Sans" w:hAnsi="IBM Plex Sans"/>
        </w:rPr>
      </w:pPr>
    </w:p>
    <w:p w14:paraId="4BE6827B" w14:textId="054910CE" w:rsidR="00437B79" w:rsidRPr="00526FD8" w:rsidRDefault="00437B79" w:rsidP="00437B79">
      <w:pPr>
        <w:rPr>
          <w:rFonts w:ascii="IBM Plex Sans" w:hAnsi="IBM Plex Sans"/>
        </w:rPr>
      </w:pPr>
      <w:hyperlink r:id="rId7" w:history="1">
        <w:r w:rsidRPr="00526FD8">
          <w:rPr>
            <w:rStyle w:val="Hyperlink"/>
            <w:rFonts w:ascii="IBM Plex Sans" w:hAnsi="IBM Plex Sans"/>
          </w:rPr>
          <w:t>https://www.aramar.co.uk/</w:t>
        </w:r>
      </w:hyperlink>
    </w:p>
    <w:p w14:paraId="449CE272" w14:textId="70362BF0" w:rsidR="00437B79" w:rsidRPr="00526FD8" w:rsidRDefault="00437B79" w:rsidP="00437B79">
      <w:pPr>
        <w:rPr>
          <w:rFonts w:ascii="IBM Plex Sans" w:hAnsi="IBM Plex Sans"/>
        </w:rPr>
      </w:pPr>
    </w:p>
    <w:p w14:paraId="69408335" w14:textId="6AF66D2E" w:rsidR="00410F77" w:rsidRPr="00526FD8" w:rsidRDefault="00410F77" w:rsidP="00437B79">
      <w:pPr>
        <w:rPr>
          <w:rFonts w:ascii="IBM Plex Sans" w:hAnsi="IBM Plex Sans"/>
        </w:rPr>
      </w:pPr>
    </w:p>
    <w:p w14:paraId="0AC77141" w14:textId="32C3EBA3" w:rsidR="00410F77" w:rsidRPr="00526FD8" w:rsidRDefault="00410F77" w:rsidP="00437B79">
      <w:pPr>
        <w:rPr>
          <w:rFonts w:ascii="IBM Plex Sans" w:hAnsi="IBM Plex Sans"/>
        </w:rPr>
      </w:pPr>
      <w:r w:rsidRPr="00526FD8">
        <w:rPr>
          <w:rFonts w:ascii="IBM Plex Sans" w:hAnsi="IBM Plex Sans"/>
        </w:rPr>
        <w:t xml:space="preserve">Xero, </w:t>
      </w:r>
    </w:p>
    <w:p w14:paraId="2133AD2D" w14:textId="5AF94A19" w:rsidR="00526FD8" w:rsidRPr="00526FD8" w:rsidRDefault="00526FD8" w:rsidP="00437B79">
      <w:pPr>
        <w:rPr>
          <w:rFonts w:ascii="IBM Plex Sans" w:hAnsi="IBM Plex Sans"/>
        </w:rPr>
      </w:pPr>
      <w:r w:rsidRPr="00526FD8">
        <w:rPr>
          <w:rFonts w:ascii="IBM Plex Sans" w:hAnsi="IBM Plex Sans" w:cs="Segoe UI"/>
          <w:sz w:val="21"/>
          <w:szCs w:val="21"/>
          <w:shd w:val="clear" w:color="auto" w:fill="FFFFFF"/>
        </w:rPr>
        <w:t xml:space="preserve">a cloud-based accounting software platform for small businesses with over 3 million subscribers globally. Through Xero, small business owners and their advisors have access to real-time financial data </w:t>
      </w:r>
      <w:proofErr w:type="spellStart"/>
      <w:r w:rsidRPr="00526FD8">
        <w:rPr>
          <w:rFonts w:ascii="IBM Plex Sans" w:hAnsi="IBM Plex Sans" w:cs="Segoe UI"/>
          <w:sz w:val="21"/>
          <w:szCs w:val="21"/>
          <w:shd w:val="clear" w:color="auto" w:fill="FFFFFF"/>
        </w:rPr>
        <w:t>any time</w:t>
      </w:r>
      <w:proofErr w:type="spellEnd"/>
      <w:r w:rsidRPr="00526FD8">
        <w:rPr>
          <w:rFonts w:ascii="IBM Plex Sans" w:hAnsi="IBM Plex Sans" w:cs="Segoe UI"/>
          <w:sz w:val="21"/>
          <w:szCs w:val="21"/>
          <w:shd w:val="clear" w:color="auto" w:fill="FFFFFF"/>
        </w:rPr>
        <w:t>, anywhere and on any device.</w:t>
      </w:r>
    </w:p>
    <w:p w14:paraId="348F2A46" w14:textId="7814318F" w:rsidR="00437B79" w:rsidRPr="00526FD8" w:rsidRDefault="00437B79" w:rsidP="00437B79">
      <w:pPr>
        <w:rPr>
          <w:rFonts w:ascii="IBM Plex Sans" w:hAnsi="IBM Plex Sans"/>
        </w:rPr>
      </w:pPr>
    </w:p>
    <w:p w14:paraId="39BE27AC" w14:textId="0BF9DDE5" w:rsidR="00410F77" w:rsidRPr="00526FD8" w:rsidRDefault="00526FD8" w:rsidP="00437B79">
      <w:pPr>
        <w:rPr>
          <w:rFonts w:ascii="IBM Plex Sans" w:hAnsi="IBM Plex Sans"/>
        </w:rPr>
      </w:pPr>
      <w:hyperlink r:id="rId8" w:history="1">
        <w:r w:rsidRPr="00526FD8">
          <w:rPr>
            <w:rStyle w:val="Hyperlink"/>
            <w:rFonts w:ascii="IBM Plex Sans" w:hAnsi="IBM Plex Sans"/>
          </w:rPr>
          <w:t>https://www.xero.com/uk/</w:t>
        </w:r>
      </w:hyperlink>
    </w:p>
    <w:p w14:paraId="3434AFBA" w14:textId="77777777" w:rsidR="00526FD8" w:rsidRPr="00526FD8" w:rsidRDefault="00526FD8" w:rsidP="00437B79">
      <w:pPr>
        <w:rPr>
          <w:rFonts w:ascii="IBM Plex Sans" w:hAnsi="IBM Plex Sans"/>
        </w:rPr>
      </w:pPr>
    </w:p>
    <w:p w14:paraId="3FDBC384" w14:textId="77777777" w:rsidR="00437B79" w:rsidRPr="00526FD8" w:rsidRDefault="00437B79" w:rsidP="00437B79">
      <w:pPr>
        <w:rPr>
          <w:rFonts w:ascii="IBM Plex Sans" w:hAnsi="IBM Plex Sans"/>
        </w:rPr>
      </w:pPr>
    </w:p>
    <w:p w14:paraId="0BE7365F" w14:textId="77777777" w:rsidR="001C431A" w:rsidRPr="00526FD8" w:rsidRDefault="001C431A">
      <w:pPr>
        <w:rPr>
          <w:rFonts w:ascii="IBM Plex Sans" w:hAnsi="IBM Plex Sans"/>
        </w:rPr>
      </w:pPr>
    </w:p>
    <w:sectPr w:rsidR="001C431A" w:rsidRPr="00526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36E"/>
    <w:multiLevelType w:val="multilevel"/>
    <w:tmpl w:val="65DA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96E35"/>
    <w:multiLevelType w:val="multilevel"/>
    <w:tmpl w:val="8946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2D2070"/>
    <w:multiLevelType w:val="hybridMultilevel"/>
    <w:tmpl w:val="39B8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414387"/>
    <w:multiLevelType w:val="hybridMultilevel"/>
    <w:tmpl w:val="DA163D16"/>
    <w:lvl w:ilvl="0" w:tplc="B212FA8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CD641AF"/>
    <w:multiLevelType w:val="multilevel"/>
    <w:tmpl w:val="19204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EB7E19"/>
    <w:multiLevelType w:val="multilevel"/>
    <w:tmpl w:val="A022B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CA04B2"/>
    <w:multiLevelType w:val="multilevel"/>
    <w:tmpl w:val="B9904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199628">
    <w:abstractNumId w:val="6"/>
    <w:lvlOverride w:ilvl="0">
      <w:startOverride w:val="1"/>
    </w:lvlOverride>
  </w:num>
  <w:num w:numId="2" w16cid:durableId="567612544">
    <w:abstractNumId w:val="4"/>
    <w:lvlOverride w:ilvl="0">
      <w:startOverride w:val="2"/>
    </w:lvlOverride>
  </w:num>
  <w:num w:numId="3" w16cid:durableId="1153982637">
    <w:abstractNumId w:val="5"/>
    <w:lvlOverride w:ilvl="0">
      <w:startOverride w:val="1"/>
    </w:lvlOverride>
  </w:num>
  <w:num w:numId="4" w16cid:durableId="584149501">
    <w:abstractNumId w:val="1"/>
    <w:lvlOverride w:ilvl="0">
      <w:startOverride w:val="2"/>
    </w:lvlOverride>
  </w:num>
  <w:num w:numId="5" w16cid:durableId="314455858">
    <w:abstractNumId w:val="0"/>
    <w:lvlOverride w:ilvl="0">
      <w:startOverride w:val="3"/>
    </w:lvlOverride>
  </w:num>
  <w:num w:numId="6" w16cid:durableId="1592422532">
    <w:abstractNumId w:val="2"/>
  </w:num>
  <w:num w:numId="7" w16cid:durableId="1610627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1A"/>
    <w:rsid w:val="00132D33"/>
    <w:rsid w:val="001B7CA1"/>
    <w:rsid w:val="001C431A"/>
    <w:rsid w:val="002B60A7"/>
    <w:rsid w:val="002E686F"/>
    <w:rsid w:val="00410F77"/>
    <w:rsid w:val="00437B79"/>
    <w:rsid w:val="00526FD8"/>
    <w:rsid w:val="006704C9"/>
    <w:rsid w:val="006D1AC8"/>
    <w:rsid w:val="007D48D2"/>
    <w:rsid w:val="00A91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3B70"/>
  <w15:chartTrackingRefBased/>
  <w15:docId w15:val="{033B2EF1-47CB-BA43-A2CD-904B56EA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F7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C431A"/>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A918BB"/>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A918BB"/>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31A"/>
    <w:pPr>
      <w:spacing w:before="100" w:beforeAutospacing="1" w:after="100" w:afterAutospacing="1"/>
    </w:pPr>
  </w:style>
  <w:style w:type="character" w:styleId="Hyperlink">
    <w:name w:val="Hyperlink"/>
    <w:basedOn w:val="DefaultParagraphFont"/>
    <w:uiPriority w:val="99"/>
    <w:unhideWhenUsed/>
    <w:rsid w:val="001C431A"/>
    <w:rPr>
      <w:color w:val="0000FF"/>
      <w:u w:val="single"/>
    </w:rPr>
  </w:style>
  <w:style w:type="character" w:customStyle="1" w:styleId="Heading1Char">
    <w:name w:val="Heading 1 Char"/>
    <w:basedOn w:val="DefaultParagraphFont"/>
    <w:link w:val="Heading1"/>
    <w:uiPriority w:val="9"/>
    <w:rsid w:val="001C431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C431A"/>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1C431A"/>
    <w:pPr>
      <w:spacing w:before="240"/>
    </w:pPr>
    <w:rPr>
      <w:rFonts w:asciiTheme="minorHAnsi" w:eastAsiaTheme="minorHAnsi" w:hAnsiTheme="minorHAnsi" w:cstheme="minorHAnsi"/>
      <w:b/>
      <w:bCs/>
      <w:sz w:val="20"/>
      <w:szCs w:val="20"/>
      <w:lang w:eastAsia="en-US"/>
    </w:rPr>
  </w:style>
  <w:style w:type="paragraph" w:styleId="TOC1">
    <w:name w:val="toc 1"/>
    <w:basedOn w:val="Normal"/>
    <w:next w:val="Normal"/>
    <w:autoRedefine/>
    <w:uiPriority w:val="39"/>
    <w:unhideWhenUsed/>
    <w:rsid w:val="00A918BB"/>
    <w:pPr>
      <w:tabs>
        <w:tab w:val="right" w:pos="9016"/>
      </w:tabs>
      <w:spacing w:before="360"/>
    </w:pPr>
    <w:rPr>
      <w:rFonts w:asciiTheme="majorHAnsi" w:eastAsiaTheme="minorHAnsi" w:hAnsiTheme="majorHAnsi" w:cstheme="majorHAnsi"/>
      <w:b/>
      <w:bCs/>
      <w:caps/>
      <w:lang w:eastAsia="en-US"/>
    </w:rPr>
  </w:style>
  <w:style w:type="paragraph" w:styleId="TOC3">
    <w:name w:val="toc 3"/>
    <w:basedOn w:val="Normal"/>
    <w:next w:val="Normal"/>
    <w:autoRedefine/>
    <w:uiPriority w:val="39"/>
    <w:unhideWhenUsed/>
    <w:rsid w:val="001C431A"/>
    <w:pPr>
      <w:ind w:left="240"/>
    </w:pPr>
    <w:rPr>
      <w:rFonts w:asciiTheme="minorHAnsi" w:eastAsiaTheme="minorHAnsi" w:hAnsiTheme="minorHAnsi" w:cstheme="minorHAnsi"/>
      <w:sz w:val="20"/>
      <w:szCs w:val="20"/>
      <w:lang w:eastAsia="en-US"/>
    </w:rPr>
  </w:style>
  <w:style w:type="paragraph" w:styleId="TOC4">
    <w:name w:val="toc 4"/>
    <w:basedOn w:val="Normal"/>
    <w:next w:val="Normal"/>
    <w:autoRedefine/>
    <w:uiPriority w:val="39"/>
    <w:unhideWhenUsed/>
    <w:rsid w:val="001C431A"/>
    <w:pPr>
      <w:ind w:left="480"/>
    </w:pPr>
    <w:rPr>
      <w:rFonts w:asciiTheme="minorHAnsi" w:eastAsiaTheme="minorHAnsi" w:hAnsiTheme="minorHAnsi" w:cstheme="minorHAnsi"/>
      <w:sz w:val="20"/>
      <w:szCs w:val="20"/>
      <w:lang w:eastAsia="en-US"/>
    </w:rPr>
  </w:style>
  <w:style w:type="paragraph" w:styleId="TOC5">
    <w:name w:val="toc 5"/>
    <w:basedOn w:val="Normal"/>
    <w:next w:val="Normal"/>
    <w:autoRedefine/>
    <w:uiPriority w:val="39"/>
    <w:unhideWhenUsed/>
    <w:rsid w:val="001C431A"/>
    <w:pPr>
      <w:ind w:left="720"/>
    </w:pPr>
    <w:rPr>
      <w:rFonts w:asciiTheme="minorHAnsi" w:eastAsiaTheme="minorHAnsi" w:hAnsiTheme="minorHAnsi" w:cstheme="minorHAnsi"/>
      <w:sz w:val="20"/>
      <w:szCs w:val="20"/>
      <w:lang w:eastAsia="en-US"/>
    </w:rPr>
  </w:style>
  <w:style w:type="paragraph" w:styleId="TOC6">
    <w:name w:val="toc 6"/>
    <w:basedOn w:val="Normal"/>
    <w:next w:val="Normal"/>
    <w:autoRedefine/>
    <w:uiPriority w:val="39"/>
    <w:unhideWhenUsed/>
    <w:rsid w:val="001C431A"/>
    <w:pPr>
      <w:ind w:left="960"/>
    </w:pPr>
    <w:rPr>
      <w:rFonts w:asciiTheme="minorHAnsi" w:eastAsiaTheme="minorHAnsi" w:hAnsiTheme="minorHAnsi" w:cstheme="minorHAnsi"/>
      <w:sz w:val="20"/>
      <w:szCs w:val="20"/>
      <w:lang w:eastAsia="en-US"/>
    </w:rPr>
  </w:style>
  <w:style w:type="paragraph" w:styleId="TOC7">
    <w:name w:val="toc 7"/>
    <w:basedOn w:val="Normal"/>
    <w:next w:val="Normal"/>
    <w:autoRedefine/>
    <w:uiPriority w:val="39"/>
    <w:unhideWhenUsed/>
    <w:rsid w:val="001C431A"/>
    <w:pPr>
      <w:ind w:left="1200"/>
    </w:pPr>
    <w:rPr>
      <w:rFonts w:asciiTheme="minorHAnsi" w:eastAsiaTheme="minorHAnsi" w:hAnsiTheme="minorHAnsi" w:cstheme="minorHAnsi"/>
      <w:sz w:val="20"/>
      <w:szCs w:val="20"/>
      <w:lang w:eastAsia="en-US"/>
    </w:rPr>
  </w:style>
  <w:style w:type="paragraph" w:styleId="TOC8">
    <w:name w:val="toc 8"/>
    <w:basedOn w:val="Normal"/>
    <w:next w:val="Normal"/>
    <w:autoRedefine/>
    <w:uiPriority w:val="39"/>
    <w:unhideWhenUsed/>
    <w:rsid w:val="001C431A"/>
    <w:pPr>
      <w:ind w:left="1440"/>
    </w:pPr>
    <w:rPr>
      <w:rFonts w:asciiTheme="minorHAnsi" w:eastAsiaTheme="minorHAnsi" w:hAnsiTheme="minorHAnsi" w:cstheme="minorHAnsi"/>
      <w:sz w:val="20"/>
      <w:szCs w:val="20"/>
      <w:lang w:eastAsia="en-US"/>
    </w:rPr>
  </w:style>
  <w:style w:type="paragraph" w:styleId="TOC9">
    <w:name w:val="toc 9"/>
    <w:basedOn w:val="Normal"/>
    <w:next w:val="Normal"/>
    <w:autoRedefine/>
    <w:uiPriority w:val="39"/>
    <w:unhideWhenUsed/>
    <w:rsid w:val="001C431A"/>
    <w:pPr>
      <w:ind w:left="1680"/>
    </w:pPr>
    <w:rPr>
      <w:rFonts w:asciiTheme="minorHAnsi" w:eastAsiaTheme="minorHAnsi" w:hAnsiTheme="minorHAnsi" w:cstheme="minorHAnsi"/>
      <w:sz w:val="20"/>
      <w:szCs w:val="20"/>
      <w:lang w:eastAsia="en-US"/>
    </w:rPr>
  </w:style>
  <w:style w:type="character" w:customStyle="1" w:styleId="Heading3Char">
    <w:name w:val="Heading 3 Char"/>
    <w:basedOn w:val="DefaultParagraphFont"/>
    <w:link w:val="Heading3"/>
    <w:uiPriority w:val="9"/>
    <w:semiHidden/>
    <w:rsid w:val="00A918BB"/>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A918B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918BB"/>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6D1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40468">
      <w:bodyDiv w:val="1"/>
      <w:marLeft w:val="0"/>
      <w:marRight w:val="0"/>
      <w:marTop w:val="0"/>
      <w:marBottom w:val="0"/>
      <w:divBdr>
        <w:top w:val="none" w:sz="0" w:space="0" w:color="auto"/>
        <w:left w:val="none" w:sz="0" w:space="0" w:color="auto"/>
        <w:bottom w:val="none" w:sz="0" w:space="0" w:color="auto"/>
        <w:right w:val="none" w:sz="0" w:space="0" w:color="auto"/>
      </w:divBdr>
    </w:div>
    <w:div w:id="121111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ero.com/uk/" TargetMode="External"/><Relationship Id="rId3" Type="http://schemas.openxmlformats.org/officeDocument/2006/relationships/styles" Target="styles.xml"/><Relationship Id="rId7" Type="http://schemas.openxmlformats.org/officeDocument/2006/relationships/hyperlink" Target="https://www.aramar.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tegrate.io/partn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B482-C80B-D746-BA7E-D983D8C8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Ganapathy Harikrishnan</dc:creator>
  <cp:keywords/>
  <dc:description/>
  <cp:lastModifiedBy>Ganapathy Harikrishnan</cp:lastModifiedBy>
  <cp:revision>4</cp:revision>
  <dcterms:created xsi:type="dcterms:W3CDTF">2022-11-15T08:22:00Z</dcterms:created>
  <dcterms:modified xsi:type="dcterms:W3CDTF">2022-11-18T13:00:00Z</dcterms:modified>
</cp:coreProperties>
</file>