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Below are the SAN details and our proposed approach.</w:t>
      </w:r>
    </w:p>
    <w:p>
      <w:pPr>
        <w:pStyle w:val="Normal"/>
        <w:widowControl/>
        <w:bidi w:val="0"/>
        <w:spacing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bidi w:val="0"/>
        <w:spacing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/>
          <w:i w:val="false"/>
          <w:caps w:val="false"/>
          <w:smallCaps w:val="false"/>
          <w:color w:val="000000"/>
          <w:spacing w:val="0"/>
          <w:sz w:val="24"/>
        </w:rPr>
        <w:t>Current SAN Requirements</w:t>
      </w:r>
    </w:p>
    <w:p>
      <w:pPr>
        <w:pStyle w:val="Normal"/>
        <w:widowControl/>
        <w:bidi w:val="0"/>
        <w:spacing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bidi w:val="0"/>
        <w:spacing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According to IBM’s documentation for EEM and EGW, the required SANs are:</w:t>
      </w:r>
    </w:p>
    <w:p>
      <w:pPr>
        <w:pStyle w:val="Normal"/>
        <w:widowControl/>
        <w:bidi w:val="0"/>
        <w:spacing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tbl>
      <w:tblPr>
        <w:tblW w:w="9972" w:type="dxa"/>
        <w:jc w:val="start"/>
        <w:tblInd w:w="-6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789"/>
        <w:gridCol w:w="8182"/>
      </w:tblGrid>
      <w:tr>
        <w:trPr/>
        <w:tc>
          <w:tcPr>
            <w:tcW w:w="178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center"/>
              <w:rPr>
                <w:rFonts w:ascii="Aptos;Aptos EmbeddedFont;Aptos MSFontService;Calibri;Helvetica;sans-serif" w:hAnsi="Aptos;Aptos EmbeddedFont;Aptos MSFontService;Calibri;Helvetica;sans-serif"/>
                <w:b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b/>
                <w:color w:val="000000"/>
                <w:sz w:val="24"/>
              </w:rPr>
              <w:t>Subsystem</w:t>
            </w:r>
          </w:p>
        </w:tc>
        <w:tc>
          <w:tcPr>
            <w:tcW w:w="818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b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b/>
                <w:color w:val="000000"/>
                <w:sz w:val="24"/>
              </w:rPr>
              <w:t>Subject Alternative Names</w:t>
            </w:r>
          </w:p>
        </w:tc>
      </w:tr>
      <w:tr>
        <w:trPr/>
        <w:tc>
          <w:tcPr>
            <w:tcW w:w="1789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center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Events Endpoint Manager</w:t>
            </w:r>
          </w:p>
        </w:tc>
        <w:tc>
          <w:tcPr>
            <w:tcW w:w="818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manager-ibm-eem-manager</w:t>
            </w:r>
          </w:p>
        </w:tc>
      </w:tr>
      <w:tr>
        <w:trPr/>
        <w:tc>
          <w:tcPr>
            <w:tcW w:w="1789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8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manager-ibm-eem-manager.eemnp</w:t>
            </w:r>
          </w:p>
        </w:tc>
      </w:tr>
      <w:tr>
        <w:trPr/>
        <w:tc>
          <w:tcPr>
            <w:tcW w:w="1789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8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manager-ibm-eem-manager.eemnp.svc</w:t>
            </w:r>
          </w:p>
        </w:tc>
      </w:tr>
      <w:tr>
        <w:trPr/>
        <w:tc>
          <w:tcPr>
            <w:tcW w:w="1789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8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manager-ibm-eem-manager.eemnp.svc.cluster.local</w:t>
            </w:r>
          </w:p>
        </w:tc>
      </w:tr>
      <w:tr>
        <w:trPr/>
        <w:tc>
          <w:tcPr>
            <w:tcW w:w="1789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8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manager-ibm-eem-apic-eemnp.api.integrationocpnp.afs1-sit.aws-za.example.cloud</w:t>
            </w:r>
          </w:p>
        </w:tc>
      </w:tr>
      <w:tr>
        <w:trPr/>
        <w:tc>
          <w:tcPr>
            <w:tcW w:w="1789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8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manager-ibm-eem-gateway-eemnp.api.integrationocpnp.afs1-sit.aws-za.example.cloud</w:t>
            </w:r>
          </w:p>
        </w:tc>
      </w:tr>
      <w:tr>
        <w:trPr/>
        <w:tc>
          <w:tcPr>
            <w:tcW w:w="1789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8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manager-ibm-eem-manager-eemnp.api.integrationocpnp.afs1-sit.aws-za.example.cloud</w:t>
            </w:r>
          </w:p>
        </w:tc>
      </w:tr>
      <w:tr>
        <w:trPr/>
        <w:tc>
          <w:tcPr>
            <w:tcW w:w="1789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8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manager-ibm-eem-admin-eemnp.api.integrationocpnp.afs1-sit.aws-za.example.cloud</w:t>
            </w:r>
          </w:p>
        </w:tc>
      </w:tr>
      <w:tr>
        <w:trPr/>
        <w:tc>
          <w:tcPr>
            <w:tcW w:w="1789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center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DEV Events Gateway</w:t>
            </w:r>
          </w:p>
        </w:tc>
        <w:tc>
          <w:tcPr>
            <w:tcW w:w="818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dev-events-gateway-ibm-egw-svc</w:t>
            </w:r>
          </w:p>
        </w:tc>
      </w:tr>
      <w:tr>
        <w:trPr/>
        <w:tc>
          <w:tcPr>
            <w:tcW w:w="1789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8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dev-events-gateway-ibm-egw-svc.eemnp</w:t>
            </w:r>
          </w:p>
        </w:tc>
      </w:tr>
      <w:tr>
        <w:trPr/>
        <w:tc>
          <w:tcPr>
            <w:tcW w:w="1789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8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dev-events-gateway-ibm-egw-svc.eemnp.svc</w:t>
            </w:r>
          </w:p>
        </w:tc>
      </w:tr>
      <w:tr>
        <w:trPr/>
        <w:tc>
          <w:tcPr>
            <w:tcW w:w="1789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8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dev-events-gateway-ibm-egw-svc.eemnp.svc.cluster.local</w:t>
            </w:r>
          </w:p>
        </w:tc>
      </w:tr>
      <w:tr>
        <w:trPr/>
        <w:tc>
          <w:tcPr>
            <w:tcW w:w="1789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8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dev-events-gateway-ibm-egw-rt-eemnp.api.integrationocpnp.afs1-sit.aws-za.example.cloud</w:t>
            </w:r>
          </w:p>
        </w:tc>
      </w:tr>
    </w:tbl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/>
          <w:i w:val="false"/>
          <w:caps w:val="false"/>
          <w:smallCaps w:val="false"/>
          <w:color w:val="000000"/>
          <w:spacing w:val="0"/>
          <w:sz w:val="24"/>
        </w:rPr>
        <w:t>Alternate approach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We can create a subdomain called </w:t>
      </w:r>
      <w:r>
        <w:rPr>
          <w:rFonts w:ascii="Aptos;Aptos EmbeddedFont;Aptos MSFontService;Calibri;Helvetica;sans-serif" w:hAnsi="Aptos;Aptos EmbeddedFont;Aptos MSFontService;Calibri;Helvetica;sans-serif"/>
          <w:b/>
          <w:i w:val="false"/>
          <w:caps w:val="false"/>
          <w:smallCaps w:val="false"/>
          <w:color w:val="000000"/>
          <w:spacing w:val="0"/>
          <w:sz w:val="24"/>
        </w:rPr>
        <w:t>*.eemnp.example.com</w:t>
      </w: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which can easily be delegate through AWS Route53.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Although SAN's through this approach are much shorter, they still have those hardcoded "ibm" names.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tbl>
      <w:tblPr>
        <w:tblW w:w="9780" w:type="dxa"/>
        <w:jc w:val="start"/>
        <w:tblInd w:w="-6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91"/>
        <w:gridCol w:w="6788"/>
      </w:tblGrid>
      <w:tr>
        <w:trPr/>
        <w:tc>
          <w:tcPr>
            <w:tcW w:w="29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center"/>
              <w:rPr>
                <w:rFonts w:ascii="Aptos;Aptos EmbeddedFont;Aptos MSFontService;Calibri;Helvetica;sans-serif" w:hAnsi="Aptos;Aptos EmbeddedFont;Aptos MSFontService;Calibri;Helvetica;sans-serif"/>
                <w:b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b/>
                <w:color w:val="000000"/>
                <w:sz w:val="24"/>
              </w:rPr>
              <w:t>Subsystem</w:t>
            </w:r>
          </w:p>
        </w:tc>
        <w:tc>
          <w:tcPr>
            <w:tcW w:w="67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b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b/>
                <w:color w:val="000000"/>
                <w:sz w:val="24"/>
              </w:rPr>
              <w:t>Subject Alternative Names</w:t>
            </w:r>
          </w:p>
        </w:tc>
      </w:tr>
      <w:tr>
        <w:trPr/>
        <w:tc>
          <w:tcPr>
            <w:tcW w:w="2991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center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Events Endpoint Manager</w:t>
            </w:r>
          </w:p>
        </w:tc>
        <w:tc>
          <w:tcPr>
            <w:tcW w:w="67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manager-ibm-eem-manager</w:t>
            </w:r>
          </w:p>
        </w:tc>
      </w:tr>
      <w:tr>
        <w:trPr/>
        <w:tc>
          <w:tcPr>
            <w:tcW w:w="2991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7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manager-ibm-eem-manager.eemnp</w:t>
            </w:r>
          </w:p>
        </w:tc>
      </w:tr>
      <w:tr>
        <w:trPr/>
        <w:tc>
          <w:tcPr>
            <w:tcW w:w="2991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7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manager-ibm-eem-manager.eemnp.svc</w:t>
            </w:r>
          </w:p>
        </w:tc>
      </w:tr>
      <w:tr>
        <w:trPr/>
        <w:tc>
          <w:tcPr>
            <w:tcW w:w="2991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7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manager-ibm-eem-manager.eemnp.svc.cluster.local</w:t>
            </w:r>
          </w:p>
        </w:tc>
      </w:tr>
      <w:tr>
        <w:trPr/>
        <w:tc>
          <w:tcPr>
            <w:tcW w:w="2991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7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manager-ibm-eem-apic-eemnp.example.com</w:t>
            </w:r>
          </w:p>
        </w:tc>
      </w:tr>
      <w:tr>
        <w:trPr/>
        <w:tc>
          <w:tcPr>
            <w:tcW w:w="2991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7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manager-ibm-eem-gateway-eemnp.example.com</w:t>
            </w:r>
          </w:p>
        </w:tc>
      </w:tr>
      <w:tr>
        <w:trPr/>
        <w:tc>
          <w:tcPr>
            <w:tcW w:w="2991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7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manager-ibm-eem-manager-eemnp.example.com</w:t>
            </w:r>
          </w:p>
        </w:tc>
      </w:tr>
      <w:tr>
        <w:trPr/>
        <w:tc>
          <w:tcPr>
            <w:tcW w:w="2991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7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manager-ibm-eem-admin-eemnp.example.com</w:t>
            </w:r>
          </w:p>
        </w:tc>
      </w:tr>
      <w:tr>
        <w:trPr/>
        <w:tc>
          <w:tcPr>
            <w:tcW w:w="2991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center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DEV Events Gateway</w:t>
            </w:r>
          </w:p>
        </w:tc>
        <w:tc>
          <w:tcPr>
            <w:tcW w:w="67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dev-events-gateway-ibm-egw-svc</w:t>
            </w:r>
          </w:p>
        </w:tc>
      </w:tr>
      <w:tr>
        <w:trPr/>
        <w:tc>
          <w:tcPr>
            <w:tcW w:w="2991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7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dev-events-gateway-ibm-egw-svc.eemnp</w:t>
            </w:r>
          </w:p>
        </w:tc>
      </w:tr>
      <w:tr>
        <w:trPr/>
        <w:tc>
          <w:tcPr>
            <w:tcW w:w="2991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7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dev-events-gateway-ibm-egw-svc.eemnp.svc</w:t>
            </w:r>
          </w:p>
        </w:tc>
      </w:tr>
      <w:tr>
        <w:trPr/>
        <w:tc>
          <w:tcPr>
            <w:tcW w:w="2991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7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dev-events-gateway-ibm-egw-svc.eemnp.svc.cluster.local</w:t>
            </w:r>
          </w:p>
        </w:tc>
      </w:tr>
      <w:tr>
        <w:trPr/>
        <w:tc>
          <w:tcPr>
            <w:tcW w:w="2991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7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dev-events-gateway-ibm-egw-rt-eemnp.example.com</w:t>
            </w:r>
          </w:p>
        </w:tc>
      </w:tr>
    </w:tbl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Ideally, we would like to simplify the SAN's used in the certificate which can cover various internal and external endpoints used by EEM. 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BodyText"/>
        <w:widowControl/>
        <w:bidi w:val="0"/>
        <w:spacing w:lineRule="atLeast" w:line="285"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If we drop the SAN requirement of </w:t>
      </w:r>
      <w:r>
        <w:rPr>
          <w:rFonts w:ascii="Aptos;Aptos EmbeddedFont;Aptos MSFontService;Calibri;Helvetica;sans-serif" w:hAnsi="Aptos;Aptos EmbeddedFont;Aptos MSFontService;Calibri;Helvetica;sans-serif"/>
          <w:b/>
          <w:i w:val="false"/>
          <w:caps w:val="false"/>
          <w:smallCaps w:val="false"/>
          <w:color w:val="000000"/>
          <w:spacing w:val="0"/>
          <w:sz w:val="24"/>
        </w:rPr>
        <w:t>${MANAGER_NAME}-ibm-eem-manager</w:t>
      </w: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(for the Manager) and </w:t>
      </w:r>
      <w:r>
        <w:rPr>
          <w:rFonts w:ascii="Aptos;Aptos EmbeddedFont;Aptos MSFontService;Calibri;Helvetica;sans-serif" w:hAnsi="Aptos;Aptos EmbeddedFont;Aptos MSFontService;Calibri;Helvetica;sans-serif"/>
          <w:b/>
          <w:i w:val="false"/>
          <w:caps w:val="false"/>
          <w:smallCaps w:val="false"/>
          <w:color w:val="000000"/>
          <w:spacing w:val="0"/>
          <w:sz w:val="24"/>
        </w:rPr>
        <w:t>${GATEWAY_NAME}-ibm-egw-svc</w:t>
      </w: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(for the Gateway) we could achieve much simpler SAN's.</w:t>
      </w:r>
    </w:p>
    <w:p>
      <w:pPr>
        <w:pStyle w:val="BodyText"/>
        <w:widowControl/>
        <w:bidi w:val="0"/>
        <w:spacing w:lineRule="atLeast" w:line="285"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tbl>
      <w:tblPr>
        <w:tblW w:w="9972" w:type="dxa"/>
        <w:jc w:val="start"/>
        <w:tblInd w:w="-6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042"/>
        <w:gridCol w:w="6334"/>
        <w:gridCol w:w="1596"/>
      </w:tblGrid>
      <w:tr>
        <w:trPr/>
        <w:tc>
          <w:tcPr>
            <w:tcW w:w="204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center"/>
              <w:rPr>
                <w:rFonts w:ascii="Aptos;Aptos EmbeddedFont;Aptos MSFontService;Calibri;Helvetica;sans-serif" w:hAnsi="Aptos;Aptos EmbeddedFont;Aptos MSFontService;Calibri;Helvetica;sans-serif"/>
                <w:b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b/>
                <w:color w:val="000000"/>
                <w:sz w:val="24"/>
              </w:rPr>
              <w:t>Subsystem</w:t>
            </w:r>
          </w:p>
        </w:tc>
        <w:tc>
          <w:tcPr>
            <w:tcW w:w="63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b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b/>
                <w:color w:val="000000"/>
                <w:sz w:val="24"/>
              </w:rPr>
              <w:t>Subject Alternative Names</w:t>
            </w:r>
          </w:p>
        </w:tc>
        <w:tc>
          <w:tcPr>
            <w:tcW w:w="159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Notes</w:t>
            </w:r>
          </w:p>
        </w:tc>
      </w:tr>
      <w:tr>
        <w:trPr/>
        <w:tc>
          <w:tcPr>
            <w:tcW w:w="2042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center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Events Endpoint Manager</w:t>
            </w:r>
          </w:p>
        </w:tc>
        <w:tc>
          <w:tcPr>
            <w:tcW w:w="63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*.emmnp</w:t>
            </w:r>
          </w:p>
        </w:tc>
        <w:tc>
          <w:tcPr>
            <w:tcW w:w="159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</w:tr>
      <w:tr>
        <w:trPr/>
        <w:tc>
          <w:tcPr>
            <w:tcW w:w="2042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3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*.emmnp.svc</w:t>
            </w:r>
          </w:p>
        </w:tc>
        <w:tc>
          <w:tcPr>
            <w:tcW w:w="159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</w:tr>
      <w:tr>
        <w:trPr/>
        <w:tc>
          <w:tcPr>
            <w:tcW w:w="2042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3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*.emmnp.svc.cluster.local</w:t>
            </w:r>
          </w:p>
        </w:tc>
        <w:tc>
          <w:tcPr>
            <w:tcW w:w="159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</w:tr>
      <w:tr>
        <w:trPr/>
        <w:tc>
          <w:tcPr>
            <w:tcW w:w="2042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3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*-emmnp.example.com</w:t>
            </w:r>
          </w:p>
        </w:tc>
        <w:tc>
          <w:tcPr>
            <w:tcW w:w="159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</w:tr>
      <w:tr>
        <w:trPr/>
        <w:tc>
          <w:tcPr>
            <w:tcW w:w="2042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3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${MANAGER_NAME}-ibm-eem-apic-emmnp.example.com</w:t>
            </w:r>
          </w:p>
        </w:tc>
        <w:tc>
          <w:tcPr>
            <w:tcW w:w="159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Can be shortened</w:t>
            </w:r>
          </w:p>
        </w:tc>
      </w:tr>
      <w:tr>
        <w:trPr/>
        <w:tc>
          <w:tcPr>
            <w:tcW w:w="2042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3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${MANAGER_NAME}-ibm-eem-gateway-emmnp.example.com</w:t>
            </w:r>
          </w:p>
        </w:tc>
        <w:tc>
          <w:tcPr>
            <w:tcW w:w="159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Can be shortened</w:t>
            </w:r>
          </w:p>
        </w:tc>
      </w:tr>
      <w:tr>
        <w:trPr/>
        <w:tc>
          <w:tcPr>
            <w:tcW w:w="2042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3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${MANAGER_NAME}-ibm-eem-admin-emmnp.example.com</w:t>
            </w:r>
          </w:p>
        </w:tc>
        <w:tc>
          <w:tcPr>
            <w:tcW w:w="159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Can be shortened</w:t>
            </w:r>
          </w:p>
        </w:tc>
      </w:tr>
      <w:tr>
        <w:trPr/>
        <w:tc>
          <w:tcPr>
            <w:tcW w:w="2042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center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Events Gateway</w:t>
            </w:r>
          </w:p>
        </w:tc>
        <w:tc>
          <w:tcPr>
            <w:tcW w:w="63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*.emmnp</w:t>
            </w:r>
          </w:p>
        </w:tc>
        <w:tc>
          <w:tcPr>
            <w:tcW w:w="159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covered above</w:t>
            </w:r>
          </w:p>
        </w:tc>
      </w:tr>
      <w:tr>
        <w:trPr/>
        <w:tc>
          <w:tcPr>
            <w:tcW w:w="2042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3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*.emmnp.svc</w:t>
            </w:r>
          </w:p>
        </w:tc>
        <w:tc>
          <w:tcPr>
            <w:tcW w:w="159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covered above</w:t>
            </w:r>
          </w:p>
        </w:tc>
      </w:tr>
      <w:tr>
        <w:trPr/>
        <w:tc>
          <w:tcPr>
            <w:tcW w:w="2042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3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*.emmnp.svc.cluster.local</w:t>
            </w:r>
          </w:p>
        </w:tc>
        <w:tc>
          <w:tcPr>
            <w:tcW w:w="159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covered above</w:t>
            </w:r>
          </w:p>
        </w:tc>
      </w:tr>
      <w:tr>
        <w:trPr/>
        <w:tc>
          <w:tcPr>
            <w:tcW w:w="2042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3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${GATEWAY_NAME}-ibm-egw-rt-emmnp.example.com</w:t>
            </w:r>
          </w:p>
        </w:tc>
        <w:tc>
          <w:tcPr>
            <w:tcW w:w="159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Can be shortened</w:t>
            </w:r>
          </w:p>
        </w:tc>
      </w:tr>
    </w:tbl>
    <w:p>
      <w:pPr>
        <w:pStyle w:val="BodyText"/>
        <w:widowControl/>
        <w:bidi w:val="0"/>
        <w:spacing w:lineRule="atLeast" w:line="285"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BodyText"/>
        <w:widowControl/>
        <w:bidi w:val="0"/>
        <w:spacing w:lineRule="atLeast" w:line="285"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BodyText"/>
        <w:widowControl/>
        <w:bidi w:val="0"/>
        <w:spacing w:lineRule="atLeast" w:line="285"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Below is a list of API Connect and Event Streams endpoints we use. We've simplified certificate management for each of these endpoints by using a custom wildcard certificate. All API Connect Endpoints are secured through one certificate. We use a certificate with the CN and SAN of "</w:t>
      </w:r>
      <w:r>
        <w:rPr>
          <w:rFonts w:ascii="Aptos;Aptos EmbeddedFont;Aptos MSFontService;Calibri;Helvetica;sans-serif" w:hAnsi="Aptos;Aptos EmbeddedFont;Aptos MSFontService;Calibri;Helvetica;sans-serif"/>
          <w:b/>
          <w:i w:val="false"/>
          <w:caps w:val="false"/>
          <w:smallCaps w:val="false"/>
          <w:color w:val="000000"/>
          <w:spacing w:val="0"/>
          <w:sz w:val="24"/>
        </w:rPr>
        <w:t>*.apinp.example.com</w:t>
      </w: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" for each of the API Connect endpoints. 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Similarly for Event Streams, we have one custom certificate which secures all endpoints with a CN and SAN of "</w:t>
      </w:r>
      <w:r>
        <w:rPr>
          <w:rFonts w:ascii="Aptos;Aptos EmbeddedFont;Aptos MSFontService;Calibri;Helvetica;sans-serif" w:hAnsi="Aptos;Aptos EmbeddedFont;Aptos MSFontService;Calibri;Helvetica;sans-serif"/>
          <w:b/>
          <w:i w:val="false"/>
          <w:caps w:val="false"/>
          <w:smallCaps w:val="false"/>
          <w:color w:val="000000"/>
          <w:spacing w:val="0"/>
          <w:sz w:val="24"/>
        </w:rPr>
        <w:t>*.rtsnp.example.com</w:t>
      </w: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". 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tbl>
      <w:tblPr>
        <w:tblW w:w="5000" w:type="pct"/>
        <w:jc w:val="start"/>
        <w:tblInd w:w="-7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698"/>
        <w:gridCol w:w="2527"/>
        <w:gridCol w:w="3777"/>
        <w:gridCol w:w="977"/>
        <w:gridCol w:w="1993"/>
      </w:tblGrid>
      <w:tr>
        <w:trPr/>
        <w:tc>
          <w:tcPr>
            <w:tcW w:w="6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b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b/>
                <w:color w:val="000000"/>
                <w:sz w:val="24"/>
              </w:rPr>
              <w:t>Clusters</w:t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b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b/>
                <w:color w:val="000000"/>
                <w:sz w:val="24"/>
              </w:rPr>
              <w:t>NAME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b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b/>
                <w:color w:val="000000"/>
                <w:sz w:val="24"/>
              </w:rPr>
              <w:t>HOST/PORT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b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b/>
                <w:color w:val="000000"/>
                <w:sz w:val="24"/>
              </w:rPr>
              <w:t>PATH</w:t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b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b/>
                <w:color w:val="000000"/>
                <w:sz w:val="24"/>
              </w:rPr>
              <w:t>SERVICES</w:t>
            </w:r>
          </w:p>
        </w:tc>
      </w:tr>
      <w:tr>
        <w:trPr/>
        <w:tc>
          <w:tcPr>
            <w:tcW w:w="698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center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API Connect</w:t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analytics-ai-endpoint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analytics-ai.apinp.example.com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analytics-mtls-gw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api-gatewaynp-gateway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api-gatewaynp.apinp.example.com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api-gatewaynp-datapower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api-gatewaynp-gateway-manager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api-gatewaynp-manager.apinp.example.com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api-gatewaynp-datapower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dev-gateway-gateway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dev-gateway.apinp.example.com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dev-gateway-datapower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dev-gateway-gateway-manager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dev-gateway-manager.apinp.example.com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dev-gateway-datapower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management-admin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cloud-manager.apinp.example.com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management-juhu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management-api-manager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manager.apinp.example.com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management-juhu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management-compliance-api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platform-api.apinp.example.com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/governance</w:t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management-juhu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management-consumer-api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consumer-api.apinp.example.com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management-juhu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management-consumer-catalog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consumer-catalog.apinp.example.com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management-juhu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management-hub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hub.apinp.example.com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management-atm-api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management-platform-api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platform-api.apinp.example.com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management-juhu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management-turnstile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turnstile.apinp.example.com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management-turnstile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portal-portal-director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portal-admin.apinp.example.com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portal-nginx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portal-portal-web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portal.apinp.example.com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portal-de2aaf37-www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route-bootcamp-portal-web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bootcamp-portal.apinp.example.com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portal-de2aaf37-www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route-dev-portal-web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dev-portal.apinp.example.com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portal-de2aaf37-www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route-developernp-portal-web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developernp.example.com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portal-de2aaf37-www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route-sit-portal-web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sit-portal.apinp.example.com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portal-de2aaf37-www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sit-gateway-gateway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sit-gateway.apinp.example.com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sit-gateway-datapower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sit-gateway-gateway-manager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sit-gateway-manager.apinp.example.com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sit-gateway-datapower</w:t>
            </w:r>
          </w:p>
        </w:tc>
      </w:tr>
      <w:tr>
        <w:trPr/>
        <w:tc>
          <w:tcPr>
            <w:tcW w:w="698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center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Event Streams</w:t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es-cluster-2-ibm-es-ac-reg-apicurio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apicurio.es-cluster-2.rtsnp.example.com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es-cluster-2-ibm-es-ac-reg-external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es-cluster-2-ibm-es-admapi-admin-api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admin-api.es-cluster-2.rtsnp.example.com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es-cluster-2-ibm-es-admapi-external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es-cluster-2-ibm-es-recapi-rest-producer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rest-producer.es-cluster-2.rtsnp.example.com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es-cluster-2-ibm-es-recapi-external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es-cluster-2-ibm-es-ui-admin-ui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admin-ui.es-cluster-2.rtsnp.example.com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es-cluster-2-ibm-es-ui-external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es-cluster-2-kafka-extscram-0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broker-0.extscram.es-cluster-2.rtsnp.example.com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es-cluster-2-kafka-extscram-0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es-cluster-2-kafka-extscram-1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broker-1.extscram.es-cluster-2.rtsnp.example.com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es-cluster-2-kafka-extscram-1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es-cluster-2-kafka-extscram-2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broker-2.extscram.es-cluster-2.rtsnp.example.com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es-cluster-2-kafka-extscram-2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es-cluster-2-kafka-extscram-bootstrap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bootstrap.extscram.es-cluster-2.rtsnp.example.com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es-cluster-2-kafka-extscram-bootstrap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es-cluster-2-kafka-exttls-0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broker-0.exttls.es-cluster-2.rtsnp.example.com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es-cluster-2-kafka-exttls-0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es-cluster-2-kafka-exttls-1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broker-1.exttls.es-cluster-2.rtsnp.example.com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es-cluster-2-kafka-exttls-1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es-cluster-2-kafka-exttls-2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broker-2.exttls.es-cluster-2.rtsnp.example.com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es-cluster-2-kafka-exttls-2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es-cluster-2-kafka-exttls-bootstrap</w:t>
            </w:r>
          </w:p>
        </w:tc>
        <w:tc>
          <w:tcPr>
            <w:tcW w:w="37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bootstrap.exttls.es-cluster-2.rtsnp.example.com</w:t>
            </w:r>
          </w:p>
        </w:tc>
        <w:tc>
          <w:tcPr>
            <w:tcW w:w="97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r>
          </w:p>
        </w:tc>
        <w:tc>
          <w:tcPr>
            <w:tcW w:w="19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Contents"/>
              <w:bidi w:val="0"/>
              <w:spacing w:before="0" w:after="0"/>
              <w:ind w:hanging="0" w:start="0" w:end="0"/>
              <w:jc w:val="start"/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</w:pPr>
            <w:r>
              <w:rPr>
                <w:rFonts w:ascii="Aptos;Aptos EmbeddedFont;Aptos MSFontService;Calibri;Helvetica;sans-serif" w:hAnsi="Aptos;Aptos EmbeddedFont;Aptos MSFontService;Calibri;Helvetica;sans-serif"/>
                <w:color w:val="000000"/>
                <w:sz w:val="24"/>
              </w:rPr>
              <w:t>es-cluster-2-kafka-exttls-bootstrap</w:t>
            </w:r>
          </w:p>
        </w:tc>
      </w:tr>
    </w:tbl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It would be a lot easier if EEM also allowed for its endpoints to be secured in this manner. Following this structure keeps certificate management simpler and endpoint names cleaner/prettier.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Aptos">
    <w:altName w:val="Aptos EmbeddedFont"/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LibreOffice/24.2.7.2$Linux_X86_64 LibreOffice_project/420$Build-2</Application>
  <AppVersion>15.0000</AppVersion>
  <Pages>5</Pages>
  <Words>400</Words>
  <Characters>5763</Characters>
  <CharactersWithSpaces>5991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2025-04-14T13:08:12Z</dcterms:created>
  <dc:creator/>
  <dc:description/>
  <dc:language>en-US</dc:language>
  <cp:lastModifiedBy/>
  <dcterms:modified xsi:type="dcterms:W3CDTF">2025-04-22T15:59:30Z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